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titillator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titillator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pine sawyer</w:t>
            </w:r>
            <w:hyperlink r:id="rId519866982d58a18b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84666982d58a18f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MONCTI</w:t>
            </w:r>
          </w:p>
        </w:tc>
        <w:tc>
          <w:tcPr>
            <w:tcW w:w="2000" w:type="pct"/>
            <w:tcMar>
              <w:top w:w="15" w:type="dxa"/>
              <w:left w:w="15" w:type="dxa"/>
              <w:bottom w:w="15" w:type="dxa"/>
              <w:right w:w="15" w:type="dxa"/>
            </w:tcMar>
            <w:vAlign w:val="center"/>
          </w:tcPr>
          <w:p>
            <w:r>
              <w:rPr>
                <w:position w:val="8"/>
              </w:rPr>
              <w:drawing>
                <wp:inline distT="0" distB="0" distL="0" distR="0">
                  <wp:extent cx="2160000" cy="0"/>
                  <wp:docPr id="74018069" name="name931566982d58a213e" descr="1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5.jpg"/>
                          <pic:cNvPicPr/>
                        </pic:nvPicPr>
                        <pic:blipFill>
                          <a:blip r:embed="rId409966982d58a213c" cstate="print"/>
                          <a:stretch>
                            <a:fillRect/>
                          </a:stretch>
                        </pic:blipFill>
                        <pic:spPr>
                          <a:xfrm>
                            <a:off x="0" y="0"/>
                            <a:ext cx="2160000" cy="0"/>
                          </a:xfrm>
                          <a:prstGeom prst="rect">
                            <a:avLst/>
                          </a:prstGeom>
                          <a:ln w="0">
                            <a:noFill/>
                          </a:ln>
                        </pic:spPr>
                      </pic:pic>
                    </a:graphicData>
                  </a:graphic>
                </wp:inline>
              </w:drawing>
            </w:r>
            <w:hyperlink r:id="rId282166982d58adb1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described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as a species complex, however in this datasheet,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considered as a separate species.  In the Titan cerambycid database, </w:t>
      </w:r>
      <w:r>
        <w:rPr>
          <w:rFonts w:ascii="Calibri" w:hAnsi="Calibri" w:eastAsia="Calibri" w:cs="Calibri"/>
          <w:i/>
          <w:iCs/>
          <w:color w:val="000000"/>
          <w:sz w:val="22"/>
          <w:szCs w:val="22"/>
        </w:rPr>
        <w:t xml:space="preserve">M. titillator obesus </w:t>
      </w:r>
      <w:r>
        <w:rPr>
          <w:rFonts w:ascii="Calibri" w:hAnsi="Calibri" w:eastAsia="Calibri" w:cs="Calibri"/>
          <w:color w:val="000000"/>
          <w:sz w:val="22"/>
          <w:szCs w:val="22"/>
        </w:rPr>
        <w:t xml:space="preserve">is not considered to be a valid name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found in 31 states in the USA and Ontario, Canada (Akbulut &amp; Stamps, 2012) as well as in the Caribbean and Colombia (Blackwelder, 1946, Duffy, 1960, Monné &amp; Nearns, 2020). In North Carolina and throughout most of the South-Eastern United States,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are common. In most areas, the population is maintained in felled and dead standing trees, in windthrown timber, and in large slash (the term used in the USA to describe waste left from forestry operations) (Alya &amp; Hain, 1985).</w:t>
      </w:r>
    </w:p>
    <w:p>
      <w:r>
        <w:drawing>
          <wp:inline distT="0" distB="0" distL="0" distR="0">
            <wp:extent cx="6120000" cy="0"/>
            <wp:docPr id="78032415" name="name111766982d58af2b0" descr="MONCT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TI_distribution_map.jpg"/>
                    <pic:cNvPicPr/>
                  </pic:nvPicPr>
                  <pic:blipFill>
                    <a:blip r:embed="rId713766982d58af2a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United States of America (Alabama, Alaska, Arkansas, Colorado, Connecticut, Delaware, District of Columbia, Florida, Georgia, Illinois, Indiana, Iowa, Kansas, Kentucky, Louisiana, Maine, Maryland, Massachusetts, Michigan, Minnesota, Mississippi, Missouri, Nebraska, New Hampshire, New Jersey, New York, North Carolina, North Dakota, Ohio, Oklahoma, Pennsylvania, Rhode Island, South Carolina,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Bermuda, Cuba,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breeds in recently-cut, windthrown, fire-killed, insect-killed and dying pines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 felled or injured trees, healthy trees are seldom attacked. Alya and Hain (1985) studied the life history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in pine logs in the Piedmont of North Carolina in the summers of 1982-83. The species had very similar life cycles. The adult female gnaws a funnel-shaped pit approximately 8 mm long and 3 mm wide and sometimes just a transverse slit, in thin barked logs the slit can be just 2 mm long in the bark which extends into the soft sappy inner bark (Alya &amp; Hain, 1985). The female, while digging the egg pit, is generally accompanied by the male who clasps the posterior end of her body with his forelegs and frequently mates with her while she is digging. The eggs are laid in groups of up to nine in the bottom of these pits. Between three and nine eggs were found in 325 egg niches examined (Alya &amp; Hain, 1985). Oviposition occurs between March and October. Incubation lasts around 5-9 days. The larvae penetrate into the outer sapwood when they are three to four weeks old and then emerge to feed on the inner bark. Wooden fibres and frass are packed between the bark and the wood. When mature, the larvae extend the pit through the sap wood into the heart wood. In the heartwood, the larvae will start to tunnel parallel to the grain of wood for 5 to 7.5 cm and then turn to tunnel to a point 6 mm from the surface forming a U-shaped gallery. Normally the larvae pupate at the bottom of the U-shaped gallery, but rarely they can pupate underneath the bark (Duffy, 1960, Webb, 1909).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behaviour is similar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Young larvae feed on the inner bark, cambium and outer sapwood, forming shallow excavation 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Piedmont area of the southern states of the USA, the emergence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adults reaches a peak in April and May. However adult activity continues until late autumn and probably to some extent throughout the winter. There are at least two generations a year in the south of the USA with overlapping generations (Baker, 1972, Webb, 1909). In a test of trapping techniques,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found that peak catches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in Arkansas occurred in mid-late July.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has one to one and a half generations per year in the Piedmont area of North Carolina.  In 1983, there was a peak of activity in mid-June and then a second peak in September which may have represented a second generation. Newly emerged adults feed almost exclusively on the tender bark of small shoots and branches for about three weeks, later the insects began to feed on the thicker bark of the logs and larger branches. Females go through a period of maturation feeding of about three weeks before they oviposit. The incubation period is about a week.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were not observed feeding in healthy trees. Pine logs remain attractive to ovipositing female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for up to 42 days. In one study, mortality from early instar to emerged adults averaged about 85% (Alya &amp; Hain, 1985).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Mississippi, the egg-laying period lasts from of the beginning of March to the middle of October. The larvae hatch in about five days. The larval period is thought likely to take several months, but the pupal period is two to three weeks. It appears that normally there is one complete generation and one partial generation a year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Competitive effects have been noted between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the mountain pine beetle,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in the inner bark tissue (Billings &amp; Cameron, 1984).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may play a role in naturally regulating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populations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attracted to trees that have been attacked by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primarily arriving between 1 and 10 days after a successful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attack (Hennier, 1983). Billings and Cameron (1984) showed that behavioural chemicals produced by co-habiting bark beetle species attract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to trees that have been attacked by </w:t>
      </w:r>
      <w:r>
        <w:rPr>
          <w:rFonts w:ascii="Calibri" w:hAnsi="Calibri" w:eastAsia="Calibri" w:cs="Calibri"/>
          <w:i/>
          <w:iCs/>
          <w:color w:val="000000"/>
          <w:sz w:val="22"/>
          <w:szCs w:val="22"/>
        </w:rPr>
        <w:t xml:space="preserve">D. frontalis.</w:t>
      </w:r>
      <w:r>
        <w:rPr>
          <w:rFonts w:ascii="Calibri" w:hAnsi="Calibri" w:eastAsia="Calibri" w:cs="Calibri"/>
          <w:color w:val="000000"/>
          <w:sz w:val="22"/>
          <w:szCs w:val="22"/>
        </w:rPr>
        <w:t xml:space="preserve"> This behaviour brings male and female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close together at a suitable site for mating and oviposition.  The object of competition is the limited area of inner-bark which is necessary for the development of both species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thunbergia, 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glauca </w:t>
      </w:r>
      <w:r>
        <w:rPr>
          <w:rFonts w:ascii="Calibri" w:hAnsi="Calibri" w:eastAsia="Calibri" w:cs="Calibri"/>
          <w:color w:val="000000"/>
          <w:sz w:val="22"/>
          <w:szCs w:val="22"/>
        </w:rPr>
        <w:t xml:space="preserve">in Virginia. Carling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the primary insect associated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Virginia and thought that it was likely to be the primary vector. Luzzi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found that all 53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that emerged from samples of fire-damaged </w:t>
      </w:r>
      <w:r>
        <w:rPr>
          <w:rFonts w:ascii="Calibri" w:hAnsi="Calibri" w:eastAsia="Calibri" w:cs="Calibri"/>
          <w:i/>
          <w:iCs/>
          <w:color w:val="000000"/>
          <w:sz w:val="22"/>
          <w:szCs w:val="22"/>
        </w:rPr>
        <w:t xml:space="preserve">Pinus elliotti</w:t>
      </w:r>
      <w:r>
        <w:rPr>
          <w:rFonts w:ascii="Calibri" w:hAnsi="Calibri" w:eastAsia="Calibri" w:cs="Calibri"/>
          <w:color w:val="000000"/>
          <w:sz w:val="22"/>
          <w:szCs w:val="22"/>
        </w:rPr>
        <w:t xml:space="preserve"> in Florida were carrying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that hosts trees can infected with the nematodes during maturation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37610831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37610831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37610831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37610831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37610831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Webb (1909) provided an extensive description of the juvenile stages of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extracts are provided below.</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elongate-oval, approximately 4 mm long by 1.5 mm in diameter at the middle. They are opaque white. Under a high-power microscope the pretty sculpturing can be seen on the outer surface of the chorion.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Fully grown larvae are up to 60 mm long and 9 mm wide at the broadest point (Baker, 1972, Webb, 1909). The head of the larvae is longer than broad and is capable of being deeply retracted into the thorax. The pro-thorax, upon the anterior part of the upper or dorsal surface is smooth and shining, but the posterior part has an opaque leathery appearance. This opaque surface is dotted with small shining spots more or less longitudinally elongate in shape. The mesothorax is smooth on the dorsal surface, but on the ventral surface there is a double transverse row of fine fleshy granules (Webb, 1909).  .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share some of the appearance of the larvae and the adults. The number of segments is the same as the larvae, but the first abdominal segment is not visible on the underside of the body (Webb, 1909).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antennae are often two to three times as long as the body, there is a strong spine on each side of the thorax and the elytral sutures are prolonged into sharp spines. Females have much shorter antennae than the males, but they are still longer than the body (Webb, 1909).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almost identical to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 but can be separated from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by examination of the male genitalia. Adults of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are characterized by an elongate, rather slender body, moderate to long legs, with variegated pubescence throughout the elytra (Pershing &amp; Linit, 1985).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usually larger, it ranges from 17.5-30 mm, whereas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13-22.5 mm. The elytral apices form an acute angle with the suture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a right angle with the suture in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(Dillon &amp; Dillon, 1941)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the median lobe of the genitalia is bluntly rounded, whereas it is pointed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on detection and inspection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For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females apparently prefer to lay their eggs in partial shade. The phloem in this area soon turns brown which can make it easy to find eggs (Alya &amp; Hain, 1985).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Billings and Cameron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showed no response to a southern pine beetle trap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containing frontalin, trans-verbenol and pine turpentine, but traps baited with an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attractant paste containing ipsenol, ipsdienol and cis-verbenol were attractive. Billings (1985)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did not respond to frontalin plus pine turpentine, but turpentine had a synergistic effect when added to a paste of ipsenol, ipsdienol and cis-verbenol, increasing catches by sevenfold when compared to turpentine or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pheromone mixture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Teflon or Fluon to cross-vane, panel or multiple funnel traps can significantly increase capture and retention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adults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Allison &amp; Redak, 2017, Álvarez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studies also demonstrated a synergism between monochamol and host volatiles.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although, at an outbreak site in Mississippi, approximately 25% of the wood in each log infested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damaged (Webb, 1909).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damage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relates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but the control methods are likely to be applicable to the genus.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and wood in standard piles with less wood exposed to beetle damage suffered less damage than wood stacked in open perpendicular layers (‘pens’). The average volume of wood lost from standard piles of wood over two years in the sun ranged from 0.47% of interior logs to 2.64% for exterior logs and for piles in the shade from 0.37% for interior logs to 0.59 % for interior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are parasitized by the wasp </w:t>
      </w:r>
      <w:r>
        <w:rPr>
          <w:rFonts w:ascii="Calibri" w:hAnsi="Calibri" w:eastAsia="Calibri" w:cs="Calibri"/>
          <w:i/>
          <w:iCs/>
          <w:color w:val="000000"/>
          <w:sz w:val="22"/>
          <w:szCs w:val="22"/>
        </w:rPr>
        <w:t xml:space="preserve">Bracon webbi </w:t>
      </w:r>
      <w:r>
        <w:rPr>
          <w:rFonts w:ascii="Calibri" w:hAnsi="Calibri" w:eastAsia="Calibri" w:cs="Calibri"/>
          <w:color w:val="000000"/>
          <w:sz w:val="22"/>
          <w:szCs w:val="22"/>
        </w:rPr>
        <w:t xml:space="preserve">(Vierk) (Duffy, 1960, Webb, 1909). Larvae are frequently attacked in the pupal cells by a tachinid (Craighead, 1923, Duffy, 1960) and the adults of this and most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frequently covered with clusters of mites (Duffy, 1960).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High populations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frequently associated with tree stress due to drought conditions, windstorms, physiological stress, bark beetle epidemics, defoliator depredations, logging etc. Under these conditions wood damage will occur if timber is not salvaged promptly (Alya &amp; Hain, 1985). 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causes severe damage to forests in East Asia and in Europe and the impacts are likely to increase (EFSA, 2018).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known to be a vector of pinewood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Graham EE, Poland TM &amp; Strom BL (2016) Dilution of fluon before trap surface treatment has no effect on longhorned beetle (Coleoptera: Cerambycidae) captures.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1215-1219.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&amp; Redak RA (2017) The impact of trap type and design features on survey and detection of bark and woodboring beetles and their associates: a review and meta-analysis.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G, Etxebeste I, Gallego D, David G, Bonifacio L, Jactel H, Sousa E &amp; Pajares JA (2015) Optimization of traps for live trapping of pine wood nematode vector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618-626.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(1985) Southern pine bark beetles and associated insects - effects of rapidly-released host volatiles on response to aggregation pheromones. </w:t>
      </w:r>
      <w:r>
        <w:rPr>
          <w:rFonts w:ascii="Calibri" w:hAnsi="Calibri" w:eastAsia="Calibri" w:cs="Calibri"/>
          <w:i/>
          <w:iCs/>
          <w:color w:val="000000"/>
          <w:sz w:val="22"/>
          <w:szCs w:val="22"/>
        </w:rPr>
        <w:t xml:space="preserve">Zeitschrift Fur Angewandte Entomologie-Journal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&amp; Cameron RS (1984) Kairomonal responses of Coleoptera,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(Cerambycidae), Thanasimus-Dubius (Cleridae), and </w:t>
      </w:r>
      <w:r>
        <w:rPr>
          <w:rFonts w:ascii="Calibri" w:hAnsi="Calibri" w:eastAsia="Calibri" w:cs="Calibri"/>
          <w:i/>
          <w:iCs/>
          <w:color w:val="000000"/>
          <w:sz w:val="22"/>
          <w:szCs w:val="22"/>
        </w:rPr>
        <w:t xml:space="preserve">Temnochila virescens</w:t>
      </w:r>
      <w:r>
        <w:rPr>
          <w:rFonts w:ascii="Calibri" w:hAnsi="Calibri" w:eastAsia="Calibri" w:cs="Calibri"/>
          <w:color w:val="000000"/>
          <w:sz w:val="22"/>
          <w:szCs w:val="22"/>
        </w:rPr>
        <w:t xml:space="preserve"> (Trogositidae), to behavioral chemicals of southern pine bark beetles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1542-1548.</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(1946) Checklist of the coleopterous insects of Mexico, Central America, the West Indies and South America. Part 4. </w:t>
      </w:r>
      <w:r>
        <w:rPr>
          <w:rFonts w:ascii="Calibri" w:hAnsi="Calibri" w:eastAsia="Calibri" w:cs="Calibri"/>
          <w:i/>
          <w:iCs/>
          <w:color w:val="000000"/>
          <w:sz w:val="22"/>
          <w:szCs w:val="22"/>
        </w:rPr>
        <w:t xml:space="preserve">Bulletin of the United States National Museum, Washington, DC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551-763.</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Carling DE (1984) Some insect associates of the pinewood nematode in eastern Virginia.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Coulson R, Mayyasi A, Foltz JL &amp; Hain FP (1976) Interspecific competition between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Dendroctonus frontalis.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 (1923) </w:t>
      </w:r>
      <w:r>
        <w:rPr>
          <w:rFonts w:ascii="Calibri" w:hAnsi="Calibri" w:eastAsia="Calibri" w:cs="Calibri"/>
          <w:i/>
          <w:iCs/>
          <w:color w:val="000000"/>
          <w:sz w:val="22"/>
          <w:szCs w:val="22"/>
        </w:rPr>
        <w:t xml:space="preserve">North American cerambycid larvae</w:t>
      </w:r>
      <w:r>
        <w:rPr>
          <w:rFonts w:ascii="Calibri" w:hAnsi="Calibri" w:eastAsia="Calibri" w:cs="Calibri"/>
          <w:color w:val="000000"/>
          <w:sz w:val="22"/>
          <w:szCs w:val="22"/>
        </w:rPr>
        <w:t xml:space="preserve">. Department of Agriculture, Dominion of Canada,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 &amp; Dillon E (1941) The tribe Monochamini in the western hemisphere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p 688.</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aAggregation pheromone for </w:t>
      </w:r>
      <w:r>
        <w:rPr>
          <w:rFonts w:ascii="Calibri" w:hAnsi="Calibri" w:eastAsia="Calibri" w:cs="Calibri"/>
          <w:i/>
          <w:iCs/>
          <w:color w:val="000000"/>
          <w:sz w:val="22"/>
          <w:szCs w:val="22"/>
        </w:rPr>
        <w:t xml:space="preserve">Monochamus scutellatus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614666982d58bd305"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EE, Mitchell RF, Reagel PF, Barbour JD, Millar JG &amp; Hanks LM (2010) Treating panel traps with a fluoropolymer enhances their efficiency in capturing cerambycid beetles.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641-647.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Hennier P (1983)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(Fabricius) (Coleoptera: Cerambycidae) colonization and influence on populations of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w:t>
      </w:r>
      <w:r>
        <w:rPr>
          <w:rFonts w:ascii="Calibri" w:hAnsi="Calibri" w:eastAsia="Calibri" w:cs="Calibri"/>
          <w:i/>
          <w:iCs/>
          <w:color w:val="000000"/>
          <w:sz w:val="22"/>
          <w:szCs w:val="22"/>
        </w:rPr>
        <w:t xml:space="preserve">Ips avulsus </w:t>
      </w:r>
      <w:r>
        <w:rPr>
          <w:rFonts w:ascii="Calibri" w:hAnsi="Calibri" w:eastAsia="Calibri" w:cs="Calibri"/>
          <w:color w:val="000000"/>
          <w:sz w:val="22"/>
          <w:szCs w:val="22"/>
        </w:rPr>
        <w:t xml:space="preserve">(Eichoff) and </w:t>
      </w:r>
      <w:r>
        <w:rPr>
          <w:rFonts w:ascii="Calibri" w:hAnsi="Calibri" w:eastAsia="Calibri" w:cs="Calibri"/>
          <w:i/>
          <w:iCs/>
          <w:color w:val="000000"/>
          <w:sz w:val="22"/>
          <w:szCs w:val="22"/>
        </w:rPr>
        <w:t xml:space="preserve">Ips calligraphus </w:t>
      </w:r>
      <w:r>
        <w:rPr>
          <w:rFonts w:ascii="Calibri" w:hAnsi="Calibri" w:eastAsia="Calibri" w:cs="Calibri"/>
          <w:color w:val="000000"/>
          <w:sz w:val="22"/>
          <w:szCs w:val="22"/>
        </w:rPr>
        <w:t xml:space="preserve">(Germar) (Coleopetera: Scolytidae). Texas A&amp;M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Luzzi M, Wilkinson RC &amp; Tarjan C (1984) Transmission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to slash pine trees and bolts by a cerambycid beetle,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37-40.</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(1985) A structural difference in the male genitalia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(Olivier) and</w:t>
      </w:r>
      <w:r>
        <w:rPr>
          <w:rFonts w:ascii="Calibri" w:hAnsi="Calibri" w:eastAsia="Calibri" w:cs="Calibri"/>
          <w:i/>
          <w:iCs/>
          <w:color w:val="000000"/>
          <w:sz w:val="22"/>
          <w:szCs w:val="22"/>
        </w:rPr>
        <w:t xml:space="preserve"> M. titillator</w:t>
      </w:r>
      <w:r>
        <w:rPr>
          <w:rFonts w:ascii="Calibri" w:hAnsi="Calibri" w:eastAsia="Calibri" w:cs="Calibri"/>
          <w:color w:val="000000"/>
          <w:sz w:val="22"/>
          <w:szCs w:val="22"/>
        </w:rPr>
        <w:t xml:space="preserve"> (Fabricius) (Coleoptera: Cerambycidae).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EPPO datasheets on pests recommended for regulation. Available online. </w:t>
      </w:r>
      <w:hyperlink r:id="rId683266982d58bdcf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35030254" name="name823366982d58be1c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9466982d58be1bf"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6108315">
    <w:multiLevelType w:val="hybridMultilevel"/>
    <w:lvl w:ilvl="0" w:tplc="90116195">
      <w:start w:val="1"/>
      <w:numFmt w:val="decimal"/>
      <w:lvlText w:val="%1."/>
      <w:lvlJc w:val="left"/>
      <w:pPr>
        <w:ind w:left="720" w:hanging="360"/>
      </w:pPr>
    </w:lvl>
    <w:lvl w:ilvl="1" w:tplc="90116195" w:tentative="1">
      <w:start w:val="1"/>
      <w:numFmt w:val="lowerLetter"/>
      <w:lvlText w:val="%2."/>
      <w:lvlJc w:val="left"/>
      <w:pPr>
        <w:ind w:left="1440" w:hanging="360"/>
      </w:pPr>
    </w:lvl>
    <w:lvl w:ilvl="2" w:tplc="90116195" w:tentative="1">
      <w:start w:val="1"/>
      <w:numFmt w:val="lowerRoman"/>
      <w:lvlText w:val="%3."/>
      <w:lvlJc w:val="right"/>
      <w:pPr>
        <w:ind w:left="2160" w:hanging="180"/>
      </w:pPr>
    </w:lvl>
    <w:lvl w:ilvl="3" w:tplc="90116195" w:tentative="1">
      <w:start w:val="1"/>
      <w:numFmt w:val="decimal"/>
      <w:lvlText w:val="%4."/>
      <w:lvlJc w:val="left"/>
      <w:pPr>
        <w:ind w:left="2880" w:hanging="360"/>
      </w:pPr>
    </w:lvl>
    <w:lvl w:ilvl="4" w:tplc="90116195" w:tentative="1">
      <w:start w:val="1"/>
      <w:numFmt w:val="lowerLetter"/>
      <w:lvlText w:val="%5."/>
      <w:lvlJc w:val="left"/>
      <w:pPr>
        <w:ind w:left="3600" w:hanging="360"/>
      </w:pPr>
    </w:lvl>
    <w:lvl w:ilvl="5" w:tplc="90116195" w:tentative="1">
      <w:start w:val="1"/>
      <w:numFmt w:val="lowerRoman"/>
      <w:lvlText w:val="%6."/>
      <w:lvlJc w:val="right"/>
      <w:pPr>
        <w:ind w:left="4320" w:hanging="180"/>
      </w:pPr>
    </w:lvl>
    <w:lvl w:ilvl="6" w:tplc="90116195" w:tentative="1">
      <w:start w:val="1"/>
      <w:numFmt w:val="decimal"/>
      <w:lvlText w:val="%7."/>
      <w:lvlJc w:val="left"/>
      <w:pPr>
        <w:ind w:left="5040" w:hanging="360"/>
      </w:pPr>
    </w:lvl>
    <w:lvl w:ilvl="7" w:tplc="90116195" w:tentative="1">
      <w:start w:val="1"/>
      <w:numFmt w:val="lowerLetter"/>
      <w:lvlText w:val="%8."/>
      <w:lvlJc w:val="left"/>
      <w:pPr>
        <w:ind w:left="5760" w:hanging="360"/>
      </w:pPr>
    </w:lvl>
    <w:lvl w:ilvl="8" w:tplc="90116195" w:tentative="1">
      <w:start w:val="1"/>
      <w:numFmt w:val="lowerRoman"/>
      <w:lvlText w:val="%9."/>
      <w:lvlJc w:val="right"/>
      <w:pPr>
        <w:ind w:left="6480" w:hanging="180"/>
      </w:pPr>
    </w:lvl>
  </w:abstractNum>
  <w:abstractNum w:abstractNumId="31443154">
    <w:multiLevelType w:val="hybridMultilevel"/>
    <w:lvl w:ilvl="0" w:tplc="35878742">
      <w:start w:val="1"/>
      <w:numFmt w:val="decimal"/>
      <w:lvlText w:val="%1."/>
      <w:lvlJc w:val="left"/>
      <w:pPr>
        <w:ind w:left="720" w:hanging="360"/>
      </w:pPr>
    </w:lvl>
    <w:lvl w:ilvl="1" w:tplc="35878742" w:tentative="1">
      <w:start w:val="1"/>
      <w:numFmt w:val="lowerLetter"/>
      <w:lvlText w:val="%2."/>
      <w:lvlJc w:val="left"/>
      <w:pPr>
        <w:ind w:left="1440" w:hanging="360"/>
      </w:pPr>
    </w:lvl>
    <w:lvl w:ilvl="2" w:tplc="35878742" w:tentative="1">
      <w:start w:val="1"/>
      <w:numFmt w:val="lowerRoman"/>
      <w:lvlText w:val="%3."/>
      <w:lvlJc w:val="right"/>
      <w:pPr>
        <w:ind w:left="2160" w:hanging="180"/>
      </w:pPr>
    </w:lvl>
    <w:lvl w:ilvl="3" w:tplc="35878742" w:tentative="1">
      <w:start w:val="1"/>
      <w:numFmt w:val="decimal"/>
      <w:lvlText w:val="%4."/>
      <w:lvlJc w:val="left"/>
      <w:pPr>
        <w:ind w:left="2880" w:hanging="360"/>
      </w:pPr>
    </w:lvl>
    <w:lvl w:ilvl="4" w:tplc="35878742" w:tentative="1">
      <w:start w:val="1"/>
      <w:numFmt w:val="lowerLetter"/>
      <w:lvlText w:val="%5."/>
      <w:lvlJc w:val="left"/>
      <w:pPr>
        <w:ind w:left="3600" w:hanging="360"/>
      </w:pPr>
    </w:lvl>
    <w:lvl w:ilvl="5" w:tplc="35878742" w:tentative="1">
      <w:start w:val="1"/>
      <w:numFmt w:val="lowerRoman"/>
      <w:lvlText w:val="%6."/>
      <w:lvlJc w:val="right"/>
      <w:pPr>
        <w:ind w:left="4320" w:hanging="180"/>
      </w:pPr>
    </w:lvl>
    <w:lvl w:ilvl="6" w:tplc="35878742" w:tentative="1">
      <w:start w:val="1"/>
      <w:numFmt w:val="decimal"/>
      <w:lvlText w:val="%7."/>
      <w:lvlJc w:val="left"/>
      <w:pPr>
        <w:ind w:left="5040" w:hanging="360"/>
      </w:pPr>
    </w:lvl>
    <w:lvl w:ilvl="7" w:tplc="35878742" w:tentative="1">
      <w:start w:val="1"/>
      <w:numFmt w:val="lowerLetter"/>
      <w:lvlText w:val="%8."/>
      <w:lvlJc w:val="left"/>
      <w:pPr>
        <w:ind w:left="5760" w:hanging="360"/>
      </w:pPr>
    </w:lvl>
    <w:lvl w:ilvl="8" w:tplc="35878742" w:tentative="1">
      <w:start w:val="1"/>
      <w:numFmt w:val="lowerRoman"/>
      <w:lvlText w:val="%9."/>
      <w:lvlJc w:val="right"/>
      <w:pPr>
        <w:ind w:left="6480" w:hanging="180"/>
      </w:pPr>
    </w:lvl>
  </w:abstractNum>
  <w:abstractNum w:abstractNumId="31443153">
    <w:multiLevelType w:val="hybridMultilevel"/>
    <w:lvl w:ilvl="0" w:tplc="73910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43153">
    <w:abstractNumId w:val="31443153"/>
  </w:num>
  <w:num w:numId="31443154">
    <w:abstractNumId w:val="31443154"/>
  </w:num>
  <w:num w:numId="376108315">
    <w:abstractNumId w:val="3761083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9381729" Type="http://schemas.microsoft.com/office/2011/relationships/commentsExtended" Target="commentsExtended.xml"/><Relationship Id="rId734136632" Type="http://schemas.microsoft.com/office/2011/relationships/people" Target="people.xml"/><Relationship Id="rId519866982d58a18b4" Type="http://schemas.openxmlformats.org/officeDocument/2006/relationships/hyperlink" Target="https://gd.eppo.int/taxon/MONCTI/" TargetMode="External"/><Relationship Id="rId484666982d58a18fe" Type="http://schemas.openxmlformats.org/officeDocument/2006/relationships/hyperlink" Target="https://gd.eppo.int/taxon/MONCTI/categorization" TargetMode="External"/><Relationship Id="rId282166982d58adb17" Type="http://schemas.openxmlformats.org/officeDocument/2006/relationships/hyperlink" Target="https://gd.eppo.int/taxon/MONCTI/photos" TargetMode="External"/><Relationship Id="rId614666982d58bd305" Type="http://schemas.openxmlformats.org/officeDocument/2006/relationships/hyperlink" Target="https://www.fs.usda.gov/Internet/FSE_DOCUMENTS/stelprdb5187547.pdf" TargetMode="External"/><Relationship Id="rId683266982d58bdcfb" Type="http://schemas.openxmlformats.org/officeDocument/2006/relationships/hyperlink" Target="https://gd.eppo.int" TargetMode="External"/><Relationship Id="rId409966982d58a213c" Type="http://schemas.openxmlformats.org/officeDocument/2006/relationships/image" Target="media/imgrId409966982d58a213c.jpg"/><Relationship Id="rId713766982d58af2ac" Type="http://schemas.openxmlformats.org/officeDocument/2006/relationships/image" Target="media/imgrId713766982d58af2ac.jpg"/><Relationship Id="rId209466982d58be1bf" Type="http://schemas.openxmlformats.org/officeDocument/2006/relationships/image" Target="media/imgrId209466982d58be1b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