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titillator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titillator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pine sawyer</w:t>
            </w:r>
            <w:hyperlink r:id="rId92876996993d8e4c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88596996993d8e50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MONCTI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898331" name="name91516996993d8f00c" descr="14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5.jpg"/>
                          <pic:cNvPicPr/>
                        </pic:nvPicPr>
                        <pic:blipFill>
                          <a:blip r:embed="rId30366996993d8f00a" cstate="print"/>
                          <a:stretch>
                            <a:fillRect/>
                          </a:stretch>
                        </pic:blipFill>
                        <pic:spPr>
                          <a:xfrm>
                            <a:off x="0" y="0"/>
                            <a:ext cx="2160000" cy="1281600"/>
                          </a:xfrm>
                          <a:prstGeom prst="rect">
                            <a:avLst/>
                          </a:prstGeom>
                          <a:ln w="0">
                            <a:noFill/>
                          </a:ln>
                        </pic:spPr>
                      </pic:pic>
                    </a:graphicData>
                  </a:graphic>
                </wp:inline>
              </w:drawing>
            </w:r>
            <w:hyperlink r:id="rId54786996993d8f1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described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as a species complex, however in this datasheet,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considered as a separate species.  In the Titan cerambycid database, </w:t>
      </w:r>
      <w:r>
        <w:rPr>
          <w:rFonts w:ascii="Calibri" w:hAnsi="Calibri" w:eastAsia="Calibri" w:cs="Calibri"/>
          <w:i/>
          <w:iCs/>
          <w:color w:val="000000"/>
          <w:sz w:val="22"/>
          <w:szCs w:val="22"/>
        </w:rPr>
        <w:t xml:space="preserve">M. titillator obesus </w:t>
      </w:r>
      <w:r>
        <w:rPr>
          <w:rFonts w:ascii="Calibri" w:hAnsi="Calibri" w:eastAsia="Calibri" w:cs="Calibri"/>
          <w:color w:val="000000"/>
          <w:sz w:val="22"/>
          <w:szCs w:val="22"/>
        </w:rPr>
        <w:t xml:space="preserve">is not considered to be a valid name (IRD,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0" w:after="0" w:line="240" w:lineRule="auto"/>
        <w:ind w:left="0" w:right="0"/>
        <w:jc w:val="left"/>
      </w:pP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found in 31 states in the USA and Ontario, Canada (Akbulut &amp; Stamps, 2012) as well as in the Caribbean and Colombia (Blackwelder, 1946, Duffy, 1960, Monné &amp; Nearns, 2020). In North Carolina and throughout most of the South-Eastern United States,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are common. In most areas, the population is maintained in felled and dead standing trees, in windthrown timber, and in large slash (the term used in the USA to describe waste left from forestry operations) (Alya &amp; Hain, 1985).</w:t>
      </w:r>
    </w:p>
    <w:p>
      <w:r>
        <w:drawing>
          <wp:inline distT="0" distB="0" distL="0" distR="0">
            <wp:extent cx="6120000" cy="3067200"/>
            <wp:docPr id="31147746" name="name11366996993d904e9" descr="MONCT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TI_distribution_map.jpg"/>
                    <pic:cNvPicPr/>
                  </pic:nvPicPr>
                  <pic:blipFill>
                    <a:blip r:embed="rId86476996993d904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Ontario), United States of America (Alabama, Alaska, Arkansas, Colorado, Connecticut, Delaware, District of Columbia, Florida, Georgia, Illinois, Indiana, Iowa, Kansas, Kentucky, Louisiana, Maine, Maryland, Massachusetts, Michigan, Minnesota, Mississippi, Missouri, Nebraska, New Hampshire, New Jersey, New York, North Carolina, North Dakota, Ohio, Oklahoma, Pennsylvania, Rhode Island, South Carolina,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Bermuda, Cuba, Puerto Rico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breeds in recently-cut, windthrown, fire-killed, insect-killed and dying pines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 felled or injured trees, healthy trees are seldom attacked. Alya and Hain (1985) studied the life history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in pine logs in the Piedmont of North Carolina in the summers of 1982-83. The species had very similar life cycles. The adult female gnaws a funnel-shaped pit approximately 8 mm long and 3 mm wide and sometimes just a transverse slit, in thin barked logs the slit can be just 2 mm long in the bark which extends into the soft sappy inner bark (Alya &amp; Hain, 1985). The female, while digging the egg pit, is generally accompanied by the male who clasps the posterior end of her body with his forelegs and frequently mates with her while she is digging. The eggs are laid in groups of up to nine in the bottom of these pits. Between three and nine eggs were found in 325 egg niches examined (Alya &amp; Hain, 1985). Oviposition occurs between March and October. Incubation lasts around 5-9 days. The larvae penetrate into the outer sapwood when they are three to four weeks old and then emerge to feed on the inner bark. Wooden fibres and frass are packed between the bark and the wood. When mature, the larvae extend the pit through the sap wood into the heart wood. In the heartwood, the larvae will start to tunnel parallel to the grain of wood for 5 to 7.5 cm and then turn to tunnel to a point 6 mm from the surface forming a U-shaped gallery. Normally the larvae pupate at the bottom of the U-shaped gallery, but rarely they can pupate underneath the bark (Duffy, 1960, Webb, 1909).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behaviour is similar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Young larvae feed on the inner bark, cambium and outer sapwood, forming shallow excavation 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Piedmont area of the southern states of the USA, the emergence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adults reaches a peak in April and May. However adult activity continues until late autumn and probably to some extent throughout the winter. There are at least two generations a year in the south of the USA with overlapping generations (Baker, 1972, Webb, 1909). In a test of trapping techniques,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found that peak catches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in Arkansas occurred in mid-late July.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has one to one and a half generations per year in the Piedmont area of North Carolina.  In 1983, there was a peak of activity in mid-June and then a second peak in September which may have represented a second generation. Newly emerged adults feed almost exclusively on the tender bark of small shoots and branches for about three weeks, later the insects began to feed on the thicker bark of the logs and larger branches. Females go through a period of maturation feeding of about three weeks before they oviposit. The incubation period is about a week.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were not observed feeding in healthy trees. Pine logs remain attractive to ovipositing female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for up to 42 days. In one study, mortality from early instar to emerged adults averaged about 85% (Alya &amp; Hain, 1985).</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southern Mississippi, the egg-laying period lasts from of the beginning of March to the middle of October. The larvae hatch in about five days. The larval period is thought likely to take several months, but the pupal period is two to three weeks. It appears that normally there is one complete generation and one partial generation a year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Competitive effects have been noted between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the mountain pine beetle,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in the inner bark tissue (Billings &amp; Cameron, 1984).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may play a role in naturally regulating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populations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attracted to trees that have been attacked by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primarily arriving between 1 and 10 days after a successful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attack (Hennier, 1983). Billings and Cameron (1984) showed that behavioural chemicals produced by co-habiting bark beetle species attract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to trees that have been attacked by </w:t>
      </w:r>
      <w:r>
        <w:rPr>
          <w:rFonts w:ascii="Calibri" w:hAnsi="Calibri" w:eastAsia="Calibri" w:cs="Calibri"/>
          <w:i/>
          <w:iCs/>
          <w:color w:val="000000"/>
          <w:sz w:val="22"/>
          <w:szCs w:val="22"/>
        </w:rPr>
        <w:t xml:space="preserve">D. frontalis.</w:t>
      </w:r>
      <w:r>
        <w:rPr>
          <w:rFonts w:ascii="Calibri" w:hAnsi="Calibri" w:eastAsia="Calibri" w:cs="Calibri"/>
          <w:color w:val="000000"/>
          <w:sz w:val="22"/>
          <w:szCs w:val="22"/>
        </w:rPr>
        <w:t xml:space="preserve"> This behaviour brings male and female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close together at a suitable site for mating and oviposition.  The object of competition is the limited area of inner-bark which is necessary for the development of both species (Coulson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1976).  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 thunbergia, 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glauca </w:t>
      </w:r>
      <w:r>
        <w:rPr>
          <w:rFonts w:ascii="Calibri" w:hAnsi="Calibri" w:eastAsia="Calibri" w:cs="Calibri"/>
          <w:color w:val="000000"/>
          <w:sz w:val="22"/>
          <w:szCs w:val="22"/>
        </w:rPr>
        <w:t xml:space="preserve">in Virginia. Carling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the primary insect associated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 Virginia and thought that it was likely to be the primary vector. Luzzi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found that all 53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that emerged from samples of fire-damaged </w:t>
      </w:r>
      <w:r>
        <w:rPr>
          <w:rFonts w:ascii="Calibri" w:hAnsi="Calibri" w:eastAsia="Calibri" w:cs="Calibri"/>
          <w:i/>
          <w:iCs/>
          <w:color w:val="000000"/>
          <w:sz w:val="22"/>
          <w:szCs w:val="22"/>
        </w:rPr>
        <w:t xml:space="preserve">Pinus elliotti</w:t>
      </w:r>
      <w:r>
        <w:rPr>
          <w:rFonts w:ascii="Calibri" w:hAnsi="Calibri" w:eastAsia="Calibri" w:cs="Calibri"/>
          <w:color w:val="000000"/>
          <w:sz w:val="22"/>
          <w:szCs w:val="22"/>
        </w:rPr>
        <w:t xml:space="preserve"> in Florida were carrying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that hosts trees can infected with the nematodes during maturation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85383445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85383445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85383445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85383445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853834455"/>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Webb (1909) provided an extensive description of the juvenile stages of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extracts are provided below.</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elongate-oval, approximately 4 mm long by 1.5 mm in diameter at the middle. They are opaque white. Under a high-power microscope the pretty sculpturing can be seen on the outer surface of the chorion.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Fully grown larvae are up to 60 mm long and 9 mm wide at the broadest point (Baker, 1972, Webb, 1909). The head of the larvae is longer than broad and is capable of being deeply retracted into the thorax. The pro-thorax, upon the anterior part of the upper or dorsal surface is smooth and shining, but the posterior part has an opaque leathery appearance. This opaque surface is dotted with small shining spots more or less longitudinally elongate in shape. The mesothorax is smooth on the dorsal surface, but on the ventral surface there is a double transverse row of fine fleshy granules (Webb, 1909).  .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share some of the appearance of the larvae and the adults. The number of segments is the same as the larvae, but the first abdominal segment is not visible on the underside of the body (Webb, 1909).</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Male antennae are often two to three times as long as the body, there is a strong spine on each side of the thorax and the elytral sutures are prolonged into sharp spines. Females have much shorter antennae than the males, but they are still longer than the body (Webb, 1909).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almost identical to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(Akbulut &amp; Stamps, 2012), but can be separated from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by examination of the male genitalia. Adults of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are characterized by an elongate, rather slender body, moderate to long legs, with variegated pubescence throughout the elytra (Pershing &amp; Linit, 1985).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usually larger, it ranges from 17.5-30 mm, whereas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ranges from 13-22.5 mm. The elytral apices form an acute angle with the suture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and a right angle with the suture in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(Dillon &amp; Dillon, 1941)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male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the median lobe of the genitalia is bluntly rounded, whereas it is pointed in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(Pershing &amp; Linit, 1985).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on detection and inspection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For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females apparently prefer to lay their eggs in partial shade. The phloem in this area soon turns brown which can make it easy to find eggs (Alya &amp; Hain, 1985).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Billings and Cameron (1984)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showed no response to a southern pine beetle trap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containing frontalin, trans-verbenol and pine turpentine, but traps baited with an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attractant paste containing ipsenol, ipsdienol and cis-verbenol were attractive. Billings (1985) found that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did not respond to frontalin plus pine turpentine, but turpentine had a synergistic effect when added to a paste of ipsenol, ipsdienol and cis-verbenol, increasing catches by sevenfold when compared to turpentine or the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pheromone mixture alone.</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application of Teflon or Fluon to cross-vane, panel or multiple funnel traps can significantly increase capture and retention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adults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Allison &amp; Redak, 2017, Álvarez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Graham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which supported evidence from previous studies (e.g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studies also demonstrated a synergism between monochamol and host volatiles.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Allison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There is evidence showing that monochamol is attractive to 12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and so it has excellent potential for surveys of beetles of the genus (Ryall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able to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(1) (Eyre &amp; Haack, 2017).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although, at an outbreak site in Mississippi, approximately 25% of the wood in each log infested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was damaged (Webb, 1909).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damage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relates to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but the control methods are likely to be applicable to the genus. 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and wood in standard piles with less wood exposed to beetle damage suffered less damage than wood stacked in open perpendicular layers (‘pens’). The average volume of wood lost from standard piles of wood over two years in the sun ranged from 0.47% of interior logs to 2.64% for exterior logs and for piles in the shade from 0.37% for interior logs to 0.59 % for interior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titillator</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are parasitized by the wasp </w:t>
      </w:r>
      <w:r>
        <w:rPr>
          <w:rFonts w:ascii="Calibri" w:hAnsi="Calibri" w:eastAsia="Calibri" w:cs="Calibri"/>
          <w:i/>
          <w:iCs/>
          <w:color w:val="000000"/>
          <w:sz w:val="22"/>
          <w:szCs w:val="22"/>
        </w:rPr>
        <w:t xml:space="preserve">Bracon webbi </w:t>
      </w:r>
      <w:r>
        <w:rPr>
          <w:rFonts w:ascii="Calibri" w:hAnsi="Calibri" w:eastAsia="Calibri" w:cs="Calibri"/>
          <w:color w:val="000000"/>
          <w:sz w:val="22"/>
          <w:szCs w:val="22"/>
        </w:rPr>
        <w:t xml:space="preserve">(Vierk) (Duffy, 1960, Webb, 1909). Larvae are frequently attacked in the pupal cells by a tachinid (Craighead, 1923, Duffy, 1960) and the adults of this and most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frequently covered with clusters of mites (Duffy, 1960).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High populations of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are frequently associated with tree stress due to drought conditions, windstorms, physiological stress, bark beetle epidemics, defoliator depredations, logging etc. Under these conditions wood damage will occur if timber is not salvaged promptly (Alya &amp; Hain, 1985). 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causes severe damage to forests in East Asia and in Europe and the impacts are likely to increase (EFSA, 2018).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is known to be a vector of pinewood nematode (Akbulut &amp; Stamps,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Graham EE, Poland TM &amp; Strom BL (2016) Dilution of fluon before trap surface treatment has no effect on longhorned beetle (Coleoptera: Cerambycidae) captures.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1215-1219.</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McKenney JL, Millar JG, McElfresh JS, Mitchell RF &amp; Hanks LM (2012) Response of the wodborers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(Coleoptera: Cerambycidae) to known cerambycid pheromones in the presence and absence of the host plant volatile alpha-pinene.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1587-1596.</w:t>
      </w:r>
    </w:p>
    <w:p>
      <w:pPr>
        <w:widowControl w:val="on"/>
        <w:pBdr/>
        <w:spacing w:before="220" w:after="220" w:line="240" w:lineRule="auto"/>
        <w:ind w:left="0" w:right="0"/>
        <w:jc w:val="left"/>
      </w:pPr>
      <w:r>
        <w:rPr>
          <w:rFonts w:ascii="Calibri" w:hAnsi="Calibri" w:eastAsia="Calibri" w:cs="Calibri"/>
          <w:color w:val="000000"/>
          <w:sz w:val="22"/>
          <w:szCs w:val="22"/>
        </w:rPr>
        <w:t xml:space="preserve">Allison JD &amp; Redak RA (2017) The impact of trap type and design features on survey and detection of bark and woodboring beetles and their associates: a review and meta-analysis.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G, Etxebeste I, Gallego D, David G, Bonifacio L, Jactel H, Sousa E &amp; Pajares JA (2015) Optimization of traps for live trapping of pine wood nematode vector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618-626.</w:t>
      </w:r>
    </w:p>
    <w:p>
      <w:pPr>
        <w:widowControl w:val="on"/>
        <w:pBdr/>
        <w:spacing w:before="220" w:after="220" w:line="240" w:lineRule="auto"/>
        <w:ind w:left="0" w:right="0"/>
        <w:jc w:val="left"/>
      </w:pPr>
      <w:r>
        <w:rPr>
          <w:rFonts w:ascii="Calibri" w:hAnsi="Calibri" w:eastAsia="Calibri" w:cs="Calibri"/>
          <w:color w:val="000000"/>
          <w:sz w:val="22"/>
          <w:szCs w:val="22"/>
        </w:rPr>
        <w:t xml:space="preserve">Alya AB &amp; Hain FP (1985) Life histories of </w:t>
      </w:r>
      <w:r>
        <w:rPr>
          <w:rFonts w:ascii="Calibri" w:hAnsi="Calibri" w:eastAsia="Calibri" w:cs="Calibri"/>
          <w:i/>
          <w:iCs/>
          <w:color w:val="000000"/>
          <w:sz w:val="22"/>
          <w:szCs w:val="22"/>
        </w:rPr>
        <w:t xml:space="preserve">Monochamus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titillator </w:t>
      </w:r>
      <w:r>
        <w:rPr>
          <w:rFonts w:ascii="Calibri" w:hAnsi="Calibri" w:eastAsia="Calibri" w:cs="Calibri"/>
          <w:color w:val="000000"/>
          <w:sz w:val="22"/>
          <w:szCs w:val="22"/>
        </w:rPr>
        <w:t xml:space="preserve">(Coleoptera: Cerambycidae) in the Piedmont of North Carolina. </w:t>
      </w:r>
      <w:r>
        <w:rPr>
          <w:rFonts w:ascii="Calibri" w:hAnsi="Calibri" w:eastAsia="Calibri" w:cs="Calibri"/>
          <w:i/>
          <w:iCs/>
          <w:color w:val="000000"/>
          <w:sz w:val="22"/>
          <w:szCs w:val="22"/>
        </w:rPr>
        <w:t xml:space="preserve">Journal of 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390-397.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(1985) Southern pine bark beetles and associated insects - effects of rapidly-released host volatiles on response to aggregation pheromones. </w:t>
      </w:r>
      <w:r>
        <w:rPr>
          <w:rFonts w:ascii="Calibri" w:hAnsi="Calibri" w:eastAsia="Calibri" w:cs="Calibri"/>
          <w:i/>
          <w:iCs/>
          <w:color w:val="000000"/>
          <w:sz w:val="22"/>
          <w:szCs w:val="22"/>
        </w:rPr>
        <w:t xml:space="preserve">Zeitschrift Fur Angewandte Entomologie-Journal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483-491.</w:t>
      </w:r>
    </w:p>
    <w:p>
      <w:pPr>
        <w:widowControl w:val="on"/>
        <w:pBdr/>
        <w:spacing w:before="220" w:after="220" w:line="240" w:lineRule="auto"/>
        <w:ind w:left="0" w:right="0"/>
        <w:jc w:val="left"/>
      </w:pPr>
      <w:r>
        <w:rPr>
          <w:rFonts w:ascii="Calibri" w:hAnsi="Calibri" w:eastAsia="Calibri" w:cs="Calibri"/>
          <w:color w:val="000000"/>
          <w:sz w:val="22"/>
          <w:szCs w:val="22"/>
        </w:rPr>
        <w:t xml:space="preserve">Billings RF &amp; Cameron RS (1984) Kairomonal responses of Coleoptera,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(Cerambycidae), Thanasimus-Dubius (Cleridae), and </w:t>
      </w:r>
      <w:r>
        <w:rPr>
          <w:rFonts w:ascii="Calibri" w:hAnsi="Calibri" w:eastAsia="Calibri" w:cs="Calibri"/>
          <w:i/>
          <w:iCs/>
          <w:color w:val="000000"/>
          <w:sz w:val="22"/>
          <w:szCs w:val="22"/>
        </w:rPr>
        <w:t xml:space="preserve">Temnochila virescens</w:t>
      </w:r>
      <w:r>
        <w:rPr>
          <w:rFonts w:ascii="Calibri" w:hAnsi="Calibri" w:eastAsia="Calibri" w:cs="Calibri"/>
          <w:color w:val="000000"/>
          <w:sz w:val="22"/>
          <w:szCs w:val="22"/>
        </w:rPr>
        <w:t xml:space="preserve"> (Trogositidae), to behavioral chemicals of southern pine bark beetles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1542-1548.</w:t>
      </w:r>
    </w:p>
    <w:p>
      <w:pPr>
        <w:widowControl w:val="on"/>
        <w:pBdr/>
        <w:spacing w:before="220" w:after="220" w:line="240" w:lineRule="auto"/>
        <w:ind w:left="0" w:right="0"/>
        <w:jc w:val="left"/>
      </w:pPr>
      <w:r>
        <w:rPr>
          <w:rFonts w:ascii="Calibri" w:hAnsi="Calibri" w:eastAsia="Calibri" w:cs="Calibri"/>
          <w:color w:val="000000"/>
          <w:sz w:val="22"/>
          <w:szCs w:val="22"/>
        </w:rPr>
        <w:t xml:space="preserve">Blackwelder RE (1946) Checklist of the coleopterous insects of Mexico, Central America, the West Indies and South America. Part 4. </w:t>
      </w:r>
      <w:r>
        <w:rPr>
          <w:rFonts w:ascii="Calibri" w:hAnsi="Calibri" w:eastAsia="Calibri" w:cs="Calibri"/>
          <w:i/>
          <w:iCs/>
          <w:color w:val="000000"/>
          <w:sz w:val="22"/>
          <w:szCs w:val="22"/>
        </w:rPr>
        <w:t xml:space="preserve">Bulletin of the United States National Museum, Washington, DC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551-763.</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Carling DE (1984) Some insect associates of the pinewood nematode in eastern Virginia.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826-829.</w:t>
      </w:r>
    </w:p>
    <w:p>
      <w:pPr>
        <w:widowControl w:val="on"/>
        <w:pBdr/>
        <w:spacing w:before="220" w:after="220" w:line="240" w:lineRule="auto"/>
        <w:ind w:left="0" w:right="0"/>
        <w:jc w:val="left"/>
      </w:pPr>
      <w:r>
        <w:rPr>
          <w:rFonts w:ascii="Calibri" w:hAnsi="Calibri" w:eastAsia="Calibri" w:cs="Calibri"/>
          <w:color w:val="000000"/>
          <w:sz w:val="22"/>
          <w:szCs w:val="22"/>
        </w:rPr>
        <w:t xml:space="preserve">Coulson R, Mayyasi A, Foltz JL &amp; Hain FP (1976) Interspecific competition between </w:t>
      </w:r>
      <w:r>
        <w:rPr>
          <w:rFonts w:ascii="Calibri" w:hAnsi="Calibri" w:eastAsia="Calibri" w:cs="Calibri"/>
          <w:i/>
          <w:iCs/>
          <w:color w:val="000000"/>
          <w:sz w:val="22"/>
          <w:szCs w:val="22"/>
        </w:rPr>
        <w:t xml:space="preserve">Monochamus titillator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Dendroctonus frontalis.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Craighead F (1923) </w:t>
      </w:r>
      <w:r>
        <w:rPr>
          <w:rFonts w:ascii="Calibri" w:hAnsi="Calibri" w:eastAsia="Calibri" w:cs="Calibri"/>
          <w:i/>
          <w:iCs/>
          <w:color w:val="000000"/>
          <w:sz w:val="22"/>
          <w:szCs w:val="22"/>
        </w:rPr>
        <w:t xml:space="preserve">North American cerambycid larvae</w:t>
      </w:r>
      <w:r>
        <w:rPr>
          <w:rFonts w:ascii="Calibri" w:hAnsi="Calibri" w:eastAsia="Calibri" w:cs="Calibri"/>
          <w:color w:val="000000"/>
          <w:sz w:val="22"/>
          <w:szCs w:val="22"/>
        </w:rPr>
        <w:t xml:space="preserve">. Department of Agriculture, Dominion of Canada,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Dillon L &amp; Dillon E (1941) The tribe Monochamini in the western hemisphere (Coleoptera: Cerambycidae).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 p 688.</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aAggregation pheromone for </w:t>
      </w:r>
      <w:r>
        <w:rPr>
          <w:rFonts w:ascii="Calibri" w:hAnsi="Calibri" w:eastAsia="Calibri" w:cs="Calibri"/>
          <w:i/>
          <w:iCs/>
          <w:color w:val="000000"/>
          <w:sz w:val="22"/>
          <w:szCs w:val="22"/>
        </w:rPr>
        <w:t xml:space="preserve">Monochamus scutellatus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2029-2034.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61456996993d92f4b"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EE, Mitchell RF, Reagel PF, Barbour JD, Millar JG &amp; Hanks LM (2010) Treating panel traps with a fluoropolymer enhances their efficiency in capturing cerambycid beetles.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641-647.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Hennier P (1983)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(Fabricius) (Coleoptera: Cerambycidae) colonization and influence on populations of </w:t>
      </w:r>
      <w:r>
        <w:rPr>
          <w:rFonts w:ascii="Calibri" w:hAnsi="Calibri" w:eastAsia="Calibri" w:cs="Calibri"/>
          <w:i/>
          <w:iCs/>
          <w:color w:val="000000"/>
          <w:sz w:val="22"/>
          <w:szCs w:val="22"/>
        </w:rPr>
        <w:t xml:space="preserve">Dendroctonus frontalis </w:t>
      </w:r>
      <w:r>
        <w:rPr>
          <w:rFonts w:ascii="Calibri" w:hAnsi="Calibri" w:eastAsia="Calibri" w:cs="Calibri"/>
          <w:color w:val="000000"/>
          <w:sz w:val="22"/>
          <w:szCs w:val="22"/>
        </w:rPr>
        <w:t xml:space="preserve">Zimmermann, </w:t>
      </w:r>
      <w:r>
        <w:rPr>
          <w:rFonts w:ascii="Calibri" w:hAnsi="Calibri" w:eastAsia="Calibri" w:cs="Calibri"/>
          <w:i/>
          <w:iCs/>
          <w:color w:val="000000"/>
          <w:sz w:val="22"/>
          <w:szCs w:val="22"/>
        </w:rPr>
        <w:t xml:space="preserve">Ips avulsus </w:t>
      </w:r>
      <w:r>
        <w:rPr>
          <w:rFonts w:ascii="Calibri" w:hAnsi="Calibri" w:eastAsia="Calibri" w:cs="Calibri"/>
          <w:color w:val="000000"/>
          <w:sz w:val="22"/>
          <w:szCs w:val="22"/>
        </w:rPr>
        <w:t xml:space="preserve">(Eichoff) and </w:t>
      </w:r>
      <w:r>
        <w:rPr>
          <w:rFonts w:ascii="Calibri" w:hAnsi="Calibri" w:eastAsia="Calibri" w:cs="Calibri"/>
          <w:i/>
          <w:iCs/>
          <w:color w:val="000000"/>
          <w:sz w:val="22"/>
          <w:szCs w:val="22"/>
        </w:rPr>
        <w:t xml:space="preserve">Ips calligraphus </w:t>
      </w:r>
      <w:r>
        <w:rPr>
          <w:rFonts w:ascii="Calibri" w:hAnsi="Calibri" w:eastAsia="Calibri" w:cs="Calibri"/>
          <w:color w:val="000000"/>
          <w:sz w:val="22"/>
          <w:szCs w:val="22"/>
        </w:rPr>
        <w:t xml:space="preserve">(Germar) (Coleopetera: Scolytidae). Texas A&amp;M University.</w:t>
      </w:r>
    </w:p>
    <w:p>
      <w:pPr>
        <w:widowControl w:val="on"/>
        <w:pBdr/>
        <w:spacing w:before="220" w:after="220" w:line="240" w:lineRule="auto"/>
        <w:ind w:left="0" w:right="0"/>
        <w:jc w:val="left"/>
      </w:pPr>
      <w:r>
        <w:rPr>
          <w:rFonts w:ascii="Calibri" w:hAnsi="Calibri" w:eastAsia="Calibri" w:cs="Calibri"/>
          <w:color w:val="000000"/>
          <w:sz w:val="22"/>
          <w:szCs w:val="22"/>
        </w:rPr>
        <w:t xml:space="preserve">IRD (2021) Base de données Titan sur les Cerambycidés ou Longicornes.</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Luzzi M, Wilkinson RC &amp; Tarjan C (1984) Transmission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to slash pine trees and bolts by a cerambycid beetle,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37-40.</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Monné M &amp; Nearns E (2020) </w:t>
      </w:r>
      <w:r>
        <w:rPr>
          <w:rFonts w:ascii="Calibri" w:hAnsi="Calibri" w:eastAsia="Calibri" w:cs="Calibri"/>
          <w:i/>
          <w:iCs/>
          <w:color w:val="000000"/>
          <w:sz w:val="22"/>
          <w:szCs w:val="22"/>
        </w:rPr>
        <w:t xml:space="preserve">Catalogue of the Cerambycidae (Col.) of Canada and United States of America. Part IV. Subfamily Lamiinae.</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Pershing JC &amp; Linit MJ (1985) A structural difference in the male genitalia of </w:t>
      </w:r>
      <w:r>
        <w:rPr>
          <w:rFonts w:ascii="Calibri" w:hAnsi="Calibri" w:eastAsia="Calibri" w:cs="Calibri"/>
          <w:i/>
          <w:iCs/>
          <w:color w:val="000000"/>
          <w:sz w:val="22"/>
          <w:szCs w:val="22"/>
        </w:rPr>
        <w:t xml:space="preserve">Monochamus carolinensis</w:t>
      </w:r>
      <w:r>
        <w:rPr>
          <w:rFonts w:ascii="Calibri" w:hAnsi="Calibri" w:eastAsia="Calibri" w:cs="Calibri"/>
          <w:color w:val="000000"/>
          <w:sz w:val="22"/>
          <w:szCs w:val="22"/>
        </w:rPr>
        <w:t xml:space="preserve"> (Olivier) and</w:t>
      </w:r>
      <w:r>
        <w:rPr>
          <w:rFonts w:ascii="Calibri" w:hAnsi="Calibri" w:eastAsia="Calibri" w:cs="Calibri"/>
          <w:i/>
          <w:iCs/>
          <w:color w:val="000000"/>
          <w:sz w:val="22"/>
          <w:szCs w:val="22"/>
        </w:rPr>
        <w:t xml:space="preserve"> M. titillator</w:t>
      </w:r>
      <w:r>
        <w:rPr>
          <w:rFonts w:ascii="Calibri" w:hAnsi="Calibri" w:eastAsia="Calibri" w:cs="Calibri"/>
          <w:color w:val="000000"/>
          <w:sz w:val="22"/>
          <w:szCs w:val="22"/>
        </w:rPr>
        <w:t xml:space="preserve"> (Fabricius) (Coleoptera: Cerambycidae).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543-546.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Ryall K, Silk P, Webster RP, Gutowski JM, Meng Q, Li Y, Gao W, Fidgen J, Kimoto T, Scarr T, Mastro V &amp; Sweeney JD (2015) Further evidence that monochamol is attractive to</w:t>
      </w:r>
      <w:r>
        <w:rPr>
          <w:rFonts w:ascii="Calibri" w:hAnsi="Calibri" w:eastAsia="Calibri" w:cs="Calibri"/>
          <w:i/>
          <w:iCs/>
          <w:color w:val="000000"/>
          <w:sz w:val="22"/>
          <w:szCs w:val="22"/>
        </w:rPr>
        <w:t xml:space="preserve"> Monochamus</w:t>
      </w:r>
      <w:r>
        <w:rPr>
          <w:rFonts w:ascii="Calibri" w:hAnsi="Calibri" w:eastAsia="Calibri" w:cs="Calibri"/>
          <w:color w:val="000000"/>
          <w:sz w:val="22"/>
          <w:szCs w:val="22"/>
        </w:rPr>
        <w:t xml:space="preserve"> (Coleoptera: Cerambycidae) species, with attraction synergised by host plant volatiles and bark beetle (Coleoptera: Curculionidae) pheromones.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564-579.</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titillator</w:t>
      </w:r>
      <w:r>
        <w:rPr>
          <w:rFonts w:ascii="Calibri" w:hAnsi="Calibri" w:eastAsia="Calibri" w:cs="Calibri"/>
          <w:color w:val="000000"/>
          <w:sz w:val="22"/>
          <w:szCs w:val="22"/>
        </w:rPr>
        <w:t xml:space="preserve">. EPPO datasheets on pests recommended for regulation. Available online. </w:t>
      </w:r>
      <w:hyperlink r:id="rId98466996993d939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302768" name="name57906996993d939e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196996993d939e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3834455">
    <w:multiLevelType w:val="hybridMultilevel"/>
    <w:lvl w:ilvl="0" w:tplc="95675279">
      <w:start w:val="1"/>
      <w:numFmt w:val="decimal"/>
      <w:lvlText w:val="%1."/>
      <w:lvlJc w:val="left"/>
      <w:pPr>
        <w:ind w:left="720" w:hanging="360"/>
      </w:pPr>
    </w:lvl>
    <w:lvl w:ilvl="1" w:tplc="95675279" w:tentative="1">
      <w:start w:val="1"/>
      <w:numFmt w:val="lowerLetter"/>
      <w:lvlText w:val="%2."/>
      <w:lvlJc w:val="left"/>
      <w:pPr>
        <w:ind w:left="1440" w:hanging="360"/>
      </w:pPr>
    </w:lvl>
    <w:lvl w:ilvl="2" w:tplc="95675279" w:tentative="1">
      <w:start w:val="1"/>
      <w:numFmt w:val="lowerRoman"/>
      <w:lvlText w:val="%3."/>
      <w:lvlJc w:val="right"/>
      <w:pPr>
        <w:ind w:left="2160" w:hanging="180"/>
      </w:pPr>
    </w:lvl>
    <w:lvl w:ilvl="3" w:tplc="95675279" w:tentative="1">
      <w:start w:val="1"/>
      <w:numFmt w:val="decimal"/>
      <w:lvlText w:val="%4."/>
      <w:lvlJc w:val="left"/>
      <w:pPr>
        <w:ind w:left="2880" w:hanging="360"/>
      </w:pPr>
    </w:lvl>
    <w:lvl w:ilvl="4" w:tplc="95675279" w:tentative="1">
      <w:start w:val="1"/>
      <w:numFmt w:val="lowerLetter"/>
      <w:lvlText w:val="%5."/>
      <w:lvlJc w:val="left"/>
      <w:pPr>
        <w:ind w:left="3600" w:hanging="360"/>
      </w:pPr>
    </w:lvl>
    <w:lvl w:ilvl="5" w:tplc="95675279" w:tentative="1">
      <w:start w:val="1"/>
      <w:numFmt w:val="lowerRoman"/>
      <w:lvlText w:val="%6."/>
      <w:lvlJc w:val="right"/>
      <w:pPr>
        <w:ind w:left="4320" w:hanging="180"/>
      </w:pPr>
    </w:lvl>
    <w:lvl w:ilvl="6" w:tplc="95675279" w:tentative="1">
      <w:start w:val="1"/>
      <w:numFmt w:val="decimal"/>
      <w:lvlText w:val="%7."/>
      <w:lvlJc w:val="left"/>
      <w:pPr>
        <w:ind w:left="5040" w:hanging="360"/>
      </w:pPr>
    </w:lvl>
    <w:lvl w:ilvl="7" w:tplc="95675279" w:tentative="1">
      <w:start w:val="1"/>
      <w:numFmt w:val="lowerLetter"/>
      <w:lvlText w:val="%8."/>
      <w:lvlJc w:val="left"/>
      <w:pPr>
        <w:ind w:left="5760" w:hanging="360"/>
      </w:pPr>
    </w:lvl>
    <w:lvl w:ilvl="8" w:tplc="95675279" w:tentative="1">
      <w:start w:val="1"/>
      <w:numFmt w:val="lowerRoman"/>
      <w:lvlText w:val="%9."/>
      <w:lvlJc w:val="right"/>
      <w:pPr>
        <w:ind w:left="6480" w:hanging="180"/>
      </w:pPr>
    </w:lvl>
  </w:abstractNum>
  <w:abstractNum w:abstractNumId="29504113">
    <w:multiLevelType w:val="hybridMultilevel"/>
    <w:lvl w:ilvl="0" w:tplc="79323000">
      <w:start w:val="1"/>
      <w:numFmt w:val="decimal"/>
      <w:lvlText w:val="%1."/>
      <w:lvlJc w:val="left"/>
      <w:pPr>
        <w:ind w:left="720" w:hanging="360"/>
      </w:pPr>
    </w:lvl>
    <w:lvl w:ilvl="1" w:tplc="79323000" w:tentative="1">
      <w:start w:val="1"/>
      <w:numFmt w:val="lowerLetter"/>
      <w:lvlText w:val="%2."/>
      <w:lvlJc w:val="left"/>
      <w:pPr>
        <w:ind w:left="1440" w:hanging="360"/>
      </w:pPr>
    </w:lvl>
    <w:lvl w:ilvl="2" w:tplc="79323000" w:tentative="1">
      <w:start w:val="1"/>
      <w:numFmt w:val="lowerRoman"/>
      <w:lvlText w:val="%3."/>
      <w:lvlJc w:val="right"/>
      <w:pPr>
        <w:ind w:left="2160" w:hanging="180"/>
      </w:pPr>
    </w:lvl>
    <w:lvl w:ilvl="3" w:tplc="79323000" w:tentative="1">
      <w:start w:val="1"/>
      <w:numFmt w:val="decimal"/>
      <w:lvlText w:val="%4."/>
      <w:lvlJc w:val="left"/>
      <w:pPr>
        <w:ind w:left="2880" w:hanging="360"/>
      </w:pPr>
    </w:lvl>
    <w:lvl w:ilvl="4" w:tplc="79323000" w:tentative="1">
      <w:start w:val="1"/>
      <w:numFmt w:val="lowerLetter"/>
      <w:lvlText w:val="%5."/>
      <w:lvlJc w:val="left"/>
      <w:pPr>
        <w:ind w:left="3600" w:hanging="360"/>
      </w:pPr>
    </w:lvl>
    <w:lvl w:ilvl="5" w:tplc="79323000" w:tentative="1">
      <w:start w:val="1"/>
      <w:numFmt w:val="lowerRoman"/>
      <w:lvlText w:val="%6."/>
      <w:lvlJc w:val="right"/>
      <w:pPr>
        <w:ind w:left="4320" w:hanging="180"/>
      </w:pPr>
    </w:lvl>
    <w:lvl w:ilvl="6" w:tplc="79323000" w:tentative="1">
      <w:start w:val="1"/>
      <w:numFmt w:val="decimal"/>
      <w:lvlText w:val="%7."/>
      <w:lvlJc w:val="left"/>
      <w:pPr>
        <w:ind w:left="5040" w:hanging="360"/>
      </w:pPr>
    </w:lvl>
    <w:lvl w:ilvl="7" w:tplc="79323000" w:tentative="1">
      <w:start w:val="1"/>
      <w:numFmt w:val="lowerLetter"/>
      <w:lvlText w:val="%8."/>
      <w:lvlJc w:val="left"/>
      <w:pPr>
        <w:ind w:left="5760" w:hanging="360"/>
      </w:pPr>
    </w:lvl>
    <w:lvl w:ilvl="8" w:tplc="79323000" w:tentative="1">
      <w:start w:val="1"/>
      <w:numFmt w:val="lowerRoman"/>
      <w:lvlText w:val="%9."/>
      <w:lvlJc w:val="right"/>
      <w:pPr>
        <w:ind w:left="6480" w:hanging="180"/>
      </w:pPr>
    </w:lvl>
  </w:abstractNum>
  <w:abstractNum w:abstractNumId="29504112">
    <w:multiLevelType w:val="hybridMultilevel"/>
    <w:lvl w:ilvl="0" w:tplc="79868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504112">
    <w:abstractNumId w:val="29504112"/>
  </w:num>
  <w:num w:numId="29504113">
    <w:abstractNumId w:val="29504113"/>
  </w:num>
  <w:num w:numId="853834455">
    <w:abstractNumId w:val="8538344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0734082" Type="http://schemas.microsoft.com/office/2011/relationships/commentsExtended" Target="commentsExtended.xml"/><Relationship Id="rId678101074" Type="http://schemas.microsoft.com/office/2011/relationships/people" Target="people.xml"/><Relationship Id="rId92876996993d8e4ca" Type="http://schemas.openxmlformats.org/officeDocument/2006/relationships/hyperlink" Target="https://gd.eppo.int/taxon/MONCTI/" TargetMode="External"/><Relationship Id="rId88596996993d8e50f" Type="http://schemas.openxmlformats.org/officeDocument/2006/relationships/hyperlink" Target="https://gd.eppo.int/taxon/MONCTI/categorization" TargetMode="External"/><Relationship Id="rId54786996993d8f134" Type="http://schemas.openxmlformats.org/officeDocument/2006/relationships/hyperlink" Target="https://gd.eppo.int/taxon/MONCTI/photos" TargetMode="External"/><Relationship Id="rId61456996993d92f4b" Type="http://schemas.openxmlformats.org/officeDocument/2006/relationships/hyperlink" Target="https://www.fs.usda.gov/Internet/FSE_DOCUMENTS/stelprdb5187547.pdf" TargetMode="External"/><Relationship Id="rId98466996993d93911" Type="http://schemas.openxmlformats.org/officeDocument/2006/relationships/hyperlink" Target="https://gd.eppo.int" TargetMode="External"/><Relationship Id="rId30366996993d8f00a" Type="http://schemas.openxmlformats.org/officeDocument/2006/relationships/image" Target="media/imgrId30366996993d8f00a.jpg"/><Relationship Id="rId86476996993d904e5" Type="http://schemas.openxmlformats.org/officeDocument/2006/relationships/image" Target="media/imgrId86476996993d904e5.jpg"/><Relationship Id="rId20196996993d939ee" Type="http://schemas.openxmlformats.org/officeDocument/2006/relationships/image" Target="media/imgrId20196996993d939e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