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scutellatus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scutellatus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white spotted sawyer</w:t>
            </w:r>
            <w:hyperlink r:id="rId70336ac2e06e6dd2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94206ac2e06e6dd7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MONCST</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6278459" name="name83526ac2e06e6e270" descr="18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592.jpg"/>
                          <pic:cNvPicPr/>
                        </pic:nvPicPr>
                        <pic:blipFill>
                          <a:blip r:embed="rId56026ac2e06e6e26e" cstate="print"/>
                          <a:stretch>
                            <a:fillRect/>
                          </a:stretch>
                        </pic:blipFill>
                        <pic:spPr>
                          <a:xfrm>
                            <a:off x="0" y="0"/>
                            <a:ext cx="2160000" cy="1281600"/>
                          </a:xfrm>
                          <a:prstGeom prst="rect">
                            <a:avLst/>
                          </a:prstGeom>
                          <a:ln w="0">
                            <a:noFill/>
                          </a:ln>
                        </pic:spPr>
                      </pic:pic>
                    </a:graphicData>
                  </a:graphic>
                </wp:inline>
              </w:drawing>
            </w:r>
            <w:hyperlink r:id="rId86116ac2e06e6e3c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describe two sub-species of </w:t>
      </w:r>
      <w:r>
        <w:rPr>
          <w:rFonts w:ascii="Calibri" w:hAnsi="Calibri" w:eastAsia="Calibri" w:cs="Calibri"/>
          <w:i/>
          <w:iCs/>
          <w:color w:val="000000"/>
          <w:sz w:val="22"/>
          <w:szCs w:val="22"/>
        </w:rPr>
        <w:t xml:space="preserve">M. scutellatus: M. scutellatus scutellatus </w:t>
      </w:r>
      <w:r>
        <w:rPr>
          <w:rFonts w:ascii="Calibri" w:hAnsi="Calibri" w:eastAsia="Calibri" w:cs="Calibri"/>
          <w:color w:val="000000"/>
          <w:sz w:val="22"/>
          <w:szCs w:val="22"/>
        </w:rPr>
        <w:t xml:space="preserve">(Say) (range from Alaska to Newfoundland and North Carolina, British Columbia to New Mexico)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oregonensis </w:t>
      </w:r>
      <w:r>
        <w:rPr>
          <w:rFonts w:ascii="Calibri" w:hAnsi="Calibri" w:eastAsia="Calibri" w:cs="Calibri"/>
          <w:color w:val="000000"/>
          <w:sz w:val="22"/>
          <w:szCs w:val="22"/>
        </w:rPr>
        <w:t xml:space="preserve">(LeConte) (with a range from Washington and Idaho to California). However, the Titan database of cerambycids lists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as the valid name for both sub-species (IRD,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White pine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appears to be the favoured host of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but it also attacks many other conifers such as red pine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and jack pine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balsam fir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white spruce (common name for more than one species), black spruce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and red spruce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and larch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(Baker, 1972).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occurs from Newfoundland south to North Carolina, westwards to Minnesota and north- westwards to Alaska (Baker, 1972), also from British Columbia south to California and Western Nevada (Linsley &amp; Chemsak, 1984).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is the most widely distributed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in Eastern Canada (Rose, 1957).</w:t>
      </w:r>
    </w:p>
    <w:p/>
    <w:p>
      <w:pPr>
        <w:widowControl w:val="on"/>
        <w:pBdr/>
        <w:spacing w:before="0" w:after="0" w:line="240" w:lineRule="auto"/>
        <w:ind w:left="0" w:right="0"/>
        <w:jc w:val="left"/>
      </w:pPr>
      <w:r>
        <w:rPr>
          <w:rFonts w:ascii="Calibri" w:hAnsi="Calibri" w:eastAsia="Calibri" w:cs="Calibri"/>
          <w:b/>
          <w:bCs/>
          <w:color w:val="000000"/>
          <w:sz w:val="22"/>
          <w:szCs w:val="22"/>
        </w:rP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Prince Edward Island, Québec, Saskatchewan, Yukon Territory), Mexico, United States of America (Alabama, Alaska, Arizona, Arkansas, California, Colorado, Connecticut, Delaware, District of Columbia, Florida, Georgia, Idaho, Illinois, Indiana, Iowa, Kentucky, Louisiana, Maine, Maryland, Massachusetts, Michigan, Minnesota, Mississippi, Montana, Nebraska, Nevada, New Hampshire, New Jersey, New Mexico, New York, North Carolina, North Dakota, Ohio, Oregon, Pennsylvania, Rhode Island, South Carolina, Tennessee, Utah, Vermont,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has a two-year life cycle in Canada and the US states surrounding the great lakes. Further south it has a one generation per year. Adults emerge through circular holes cut in the bark and feed for short periods on needles and tender bark of various conifers (Rose, 1957).  Adults are thought to need to have completed a first phase of feeding before they become sexually mature (Fuentealba, 2007).  Males arrive at mating sites and guard the territory until females arrive.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have been observed arriving at cut logs within a few hours of cutting starting (Wilson, 1962). Mating will take place repeatedly and can disrupt oviposition (Hughes &amp; Hughes, 1985, Peddle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2002). Mating generally takes place on warm sunny days, on or near the host tree (Fuentealba, 2007). Eggs are then deposited in slits or notches chewed into the bark, preferably near old branch scars or in wrinkled areas on logs, pulpwood and recently killed trees (Baker, 1972). The choice of an oviposition site within </w:t>
      </w:r>
      <w:r>
        <w:rPr>
          <w:rFonts w:ascii="Calibri" w:hAnsi="Calibri" w:eastAsia="Calibri" w:cs="Calibri"/>
          <w:i/>
          <w:iCs/>
          <w:color w:val="000000"/>
          <w:sz w:val="22"/>
          <w:szCs w:val="22"/>
        </w:rPr>
        <w:t xml:space="preserve">P. resinosa </w:t>
      </w:r>
      <w:r>
        <w:rPr>
          <w:rFonts w:ascii="Calibri" w:hAnsi="Calibri" w:eastAsia="Calibri" w:cs="Calibri"/>
          <w:color w:val="000000"/>
          <w:sz w:val="22"/>
          <w:szCs w:val="22"/>
        </w:rPr>
        <w:t xml:space="preserve">logs was shown to be influenced positively by diameter and negatively by outer bark thickness (Fuentealba, 2007). Females primarily make ovipositional scars and lay eggs 3-4 cm apart in field conditions (Fuentealba, 2007). Females are less inclined to lay eggs on wood that has already been used by other females. Female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cut more scars than are used for oviposition suggesting that they need to excavate the bark before they can fully assess the suitability of a site for egg deposition and this may relate to phloem thickness (Peddle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2002). The final stage of egg laying involves the female depositing a jelly like substance over the egg with her abdomen. This substance may be to protect against desiccation, predators and parasitoids (Fuentealba, 2007).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Sioux Lookout district of Ontario,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adults emerge during June and July. About 23 months are required for development from egg to adult. There is thought to be a gap of seven to ten days between adult emergence and mating. In this district mating has been observed to take place in the afternoon on bright sunny days and was followed almost immediately by egg laying into slits cut into the bark. Oviposition tended to occur in partial shade with most eggs laid on the lower surface or side of logs. Approximately 70% of all slits cut into the bark were empty. Slits containing eggs were almost invariably cut into small cavities in the bark that appeared to be small empty resin blisters. Over the course of a six-year study, the oviposition period varied from seven to ten weeks, but in each year, 90% of eggs were laid during a period of four to six weeks. The date of the first oviposition varied between early June and early July (Rose, 1957).</w:t>
      </w:r>
    </w:p>
    <w:p>
      <w:pPr>
        <w:widowControl w:val="on"/>
        <w:pBdr/>
        <w:spacing w:before="220" w:after="220" w:line="240" w:lineRule="auto"/>
        <w:ind w:left="0" w:right="0"/>
        <w:jc w:val="both"/>
      </w:pPr>
      <w:r>
        <w:rPr>
          <w:rFonts w:ascii="Calibri" w:hAnsi="Calibri" w:eastAsia="Calibri" w:cs="Calibri"/>
          <w:color w:val="000000"/>
          <w:sz w:val="22"/>
          <w:szCs w:val="22"/>
        </w:rPr>
        <w:t xml:space="preserve">At Sioux Lookout, the egg stage lasts nine to fourteen days with a mean of twelve days. After hatching, larvae consume egg remnants and tunnel directly through the phloem to the cambium which takes two to three days. Flat mines are created in the cambium over the course of two to three weeks. Second stage larvae also feed on the cambium, widening, and extending the mines, noticeably scoring the wood surface, a phase lasting a further two to three weeks.  Cannibalism can occur if larval density is high. The third instar is reached in early September, and this is the stage that starts to tunnel into the wood, although the larvae return to surface of the wood to feed. Extrusions of excess frass can become noticeable at this time. The majority of the first-year larvae overwinter in the third instar with a minority overwintering as second and fourth instars. In the autumn, activity continues until continuous cold weather starts. Second year larvae become active as soon as the first warm weather starts. The rate of larval growth has been found to relate to the thickness of the inner bark of hosts (Fuentealba, 2007). By mid-August, most of the population are fourth instars. By mid-summer, most larvae have reached their deepest point within the wood and are starting to tunnel towards the surface, although throughout the summer the larvae also continue to feed on the surface extruding large amounts of frass. By late September, pupal chambers are constructed within 5mm of the surface of the wood and the second winter is spent in the pre-pupal stage. Pupation takes place in the third summer about two weeks before the adults emerge. The start of adult emergence can be as early as late May and as late as mid-June (Rose, 1957).  </w:t>
      </w:r>
    </w:p>
    <w:p>
      <w:pPr>
        <w:widowControl w:val="on"/>
        <w:pBdr/>
        <w:spacing w:before="220" w:after="220" w:line="240" w:lineRule="auto"/>
        <w:ind w:left="0" w:right="0"/>
        <w:jc w:val="both"/>
      </w:pPr>
      <w:r>
        <w:rPr>
          <w:rFonts w:ascii="Calibri" w:hAnsi="Calibri" w:eastAsia="Calibri" w:cs="Calibri"/>
          <w:color w:val="000000"/>
          <w:sz w:val="22"/>
          <w:szCs w:val="22"/>
        </w:rPr>
        <w:t xml:space="preserve">Rose (1957) calculated that less than 2% of eggs laid on logs reached maturity. The main cause of mortality was the desiccation of eggs exposed to the sun and the second was cannibalism.  </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(1986) studied the impact of excluding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freshly cut bolts (sections of a logs) of </w:t>
      </w:r>
      <w:r>
        <w:rPr>
          <w:rFonts w:ascii="Calibri" w:hAnsi="Calibri" w:eastAsia="Calibri" w:cs="Calibri"/>
          <w:i/>
          <w:iCs/>
          <w:color w:val="000000"/>
          <w:sz w:val="22"/>
          <w:szCs w:val="22"/>
        </w:rPr>
        <w:t xml:space="preserve">Pinus taeda </w:t>
      </w:r>
      <w:r>
        <w:rPr>
          <w:rFonts w:ascii="Calibri" w:hAnsi="Calibri" w:eastAsia="Calibri" w:cs="Calibri"/>
          <w:color w:val="000000"/>
          <w:sz w:val="22"/>
          <w:szCs w:val="22"/>
        </w:rPr>
        <w:t xml:space="preserve">on other insects. The presence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significantly reduced the number of emerging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Platysoma cylindricum </w:t>
      </w:r>
      <w:r>
        <w:rPr>
          <w:rFonts w:ascii="Calibri" w:hAnsi="Calibri" w:eastAsia="Calibri" w:cs="Calibri"/>
          <w:color w:val="000000"/>
          <w:sz w:val="22"/>
          <w:szCs w:val="22"/>
        </w:rPr>
        <w:t xml:space="preserve">(Coleoptera: Histeridae) and </w:t>
      </w:r>
      <w:r>
        <w:rPr>
          <w:rFonts w:ascii="Calibri" w:hAnsi="Calibri" w:eastAsia="Calibri" w:cs="Calibri"/>
          <w:i/>
          <w:iCs/>
          <w:color w:val="000000"/>
          <w:sz w:val="22"/>
          <w:szCs w:val="22"/>
        </w:rPr>
        <w:t xml:space="preserve">Medetera bistriata </w:t>
      </w:r>
      <w:r>
        <w:rPr>
          <w:rFonts w:ascii="Calibri" w:hAnsi="Calibri" w:eastAsia="Calibri" w:cs="Calibri"/>
          <w:color w:val="000000"/>
          <w:sz w:val="22"/>
          <w:szCs w:val="22"/>
        </w:rPr>
        <w:t xml:space="preserve">(Diptera: Dolichopodidae).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This demonstrates that reducing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populations could lead to increased populations of other damaging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Dauer larvae of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have been found in association with of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(Wingfield &amp; Blanchette, 1983).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is considered to be the second most important vector of pine wood nematode in the USA after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(Akbulut &amp; Stamps, 2012).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Bergdahl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collected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from two locations in Vermont and sampled them for nematodes. The proportion of beetles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infested with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was similar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(51%) 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(56%), but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carried many more nematodes per beetle (mean 5450) than the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(595).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collected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Christmas tree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plantations in Nova Scotia.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was recovered from the three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that were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12278672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 for egg laying in the bark, although only a minority of these may have eggs in them,</w:t>
      </w:r>
    </w:p>
    <w:p>
      <w:pPr>
        <w:numPr>
          <w:ilvl w:val="0"/>
          <w:numId w:val="12278672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12278672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12278672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12278672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white and oblong with an average size of 3.0 mm long by 0.9 mm wide.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Young larvae are creamy white, without legs, and have an amber-brown head with a pair of short mandibles. Larvae measure up to 50 mm long and 5 mm wide at the thorax and can be found year-round inside the host plant. Pupae are white and soft like the larvae; they resemble adults (20-25 mm long). As the pupa ages, the mouthparts, legs, antennae and wings become more distinct; when fully developed, it turns brown and its exoskeleton hardens (Fuentealba, 2007).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males are completely shiny black except for a small rounded white spot at the base of the elytra, females are either the same colour or have an elytra mottled with white spots (Baker, 1972).</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provide a more detailed description of the adults:</w:t>
      </w:r>
    </w:p>
    <w:p>
      <w:pPr>
        <w:widowControl w:val="on"/>
        <w:pBdr/>
        <w:spacing w:before="220" w:after="220" w:line="240" w:lineRule="auto"/>
        <w:ind w:left="0" w:right="0"/>
        <w:jc w:val="both"/>
      </w:pPr>
      <w:r>
        <w:rPr>
          <w:rFonts w:ascii="Calibri" w:hAnsi="Calibri" w:eastAsia="Calibri" w:cs="Calibri"/>
          <w:color w:val="000000"/>
          <w:sz w:val="22"/>
          <w:szCs w:val="22"/>
        </w:rPr>
        <w:t xml:space="preserve">‘Male: Form moderate-size to large; integument black, shining, often with a brassy caste, appendages often partially reddish, pubescence sparse to moderately dense, short, brownish, appressed. Head with a front convex, finely to coarsely confluently punctate, usually sparsely clothed with fine recumbent pubescence genae longer than lower eye lobe, parallel to slightly convergent; antennae extending five or six segments beyond elytra, usually twice the length of the body, segments finely, very densely aspirate, nonpubescent, segments from third or fourth with apical sensory areas. Pronotum about as broad as long, lateral tubercles strongly produced, apices blunt; apical and basal transverse impressions shallow, plicate; disk irregularly, transversely punctate at middle, center often longitudinally impressed; pubescence sparse, short, fine; prosternum glabrous to moderately pubescent; meso- and metasternum sparsely to densely clothed with long suberect hairs and often small patches of white appressed pubescence. Elytra a little more than twice as long as broad; punctures coarse, transverse, rugose appearing, becoming finer toward apex; pubescence very fine, brownish, sparse to moderately dense, often with small patches of white appressed pubescence at basal one-third; apices rounded. Scutellum apically rounded, densely white pubescent, usually with a glabrous median line. Legs finely gray pubescent. Abdomen sparsely to moderately densely pubescent; last sternite rounded to subtruncate at apex. Length 13-35 mm.</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Form more robust. Antennae extending two or three segments beyond elytra, segments apically broadly white annulate, not asperate. Elytra usually with scattered small patches of white appressed pubescence. Abdomen with last sternite truncate to shallowly emarginate at apex, densely tufted. Length 14-30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inspections for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in traps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showing that there are exceptions to the general association between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weakened or dead trees.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Traps baited with lures consisting of 95% (-)-α-pinene, (±)-ipsenol and (±)-ipsdienol were attractive to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but the compounds were not tested individually (de Groot &amp; Nott, 2001). Allison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(2001) found that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attracted to a blend of ipsenol, ipsdienol, frontalin and 3-methyl-2-cyclohexen-1-one. In a study in British Columbia, Allison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(2003) showed that ipsenol was superior to ipsdienol as an attractant for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and recommended that it should be used for mass trapping programmes.</w:t>
      </w:r>
    </w:p>
    <w:p>
      <w:pPr>
        <w:widowControl w:val="on"/>
        <w:pBdr/>
        <w:spacing w:before="220" w:after="220" w:line="240" w:lineRule="auto"/>
        <w:ind w:left="0" w:right="0"/>
        <w:jc w:val="both"/>
      </w:pPr>
      <w:r>
        <w:rPr>
          <w:rFonts w:ascii="Calibri" w:hAnsi="Calibri" w:eastAsia="Calibri" w:cs="Calibri"/>
          <w:color w:val="000000"/>
          <w:sz w:val="22"/>
          <w:szCs w:val="22"/>
        </w:rPr>
        <w:t xml:space="preserve">de Groot and Nott (2004) studied the response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to pheromones in stands of jack pine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black spruce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and balsam fir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in Ontario. They found no evidence that frontalin is a kairomone for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(synonym = </w:t>
      </w:r>
      <w:r>
        <w:rPr>
          <w:rFonts w:ascii="Calibri" w:hAnsi="Calibri" w:eastAsia="Calibri" w:cs="Calibri"/>
          <w:i/>
          <w:iCs/>
          <w:color w:val="000000"/>
          <w:sz w:val="22"/>
          <w:szCs w:val="22"/>
        </w:rPr>
        <w:t xml:space="preserve">M. mutator</w:t>
      </w:r>
      <w:r>
        <w:rPr>
          <w:rFonts w:ascii="Calibri" w:hAnsi="Calibri" w:eastAsia="Calibri" w:cs="Calibri"/>
          <w:color w:val="000000"/>
          <w:sz w:val="22"/>
          <w:szCs w:val="22"/>
        </w:rPr>
        <w:t xml:space="preserve">) or that ipsdienol was attractive to either species when either compound was used at release rates commonly used for bark beetles. Traps baited with ipsenol were more effective than unbaited traps at catching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but not more effective than α-pinene.</w:t>
      </w:r>
    </w:p>
    <w:p>
      <w:pPr>
        <w:widowControl w:val="on"/>
        <w:pBdr/>
        <w:spacing w:before="220" w:after="220" w:line="240" w:lineRule="auto"/>
        <w:ind w:left="0" w:right="0"/>
        <w:jc w:val="both"/>
      </w:pPr>
      <w:r>
        <w:rPr>
          <w:rFonts w:ascii="Calibri" w:hAnsi="Calibri" w:eastAsia="Calibri" w:cs="Calibri"/>
          <w:color w:val="000000"/>
          <w:sz w:val="22"/>
          <w:szCs w:val="22"/>
        </w:rPr>
        <w:t xml:space="preserve">In a field and laboratory study,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provided evidence that monochamol is a component of the pheromone produced by male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This mixture of four compounds, was more effective than unbaited traps or traps with a mixture of ipsenol and ipsdienol or traps with a mixture of ethanol and α-pinene. Ethanol is produced by stressed conifer trees and α-pinene is a constituent of the oleoresin of most pine species.  Ipsenol and ipsdienol occur naturally in pine forests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 M. carolinensis</w:t>
      </w:r>
      <w:r>
        <w:rPr>
          <w:rFonts w:ascii="Calibri" w:hAnsi="Calibri" w:eastAsia="Calibri" w:cs="Calibri"/>
          <w:color w:val="000000"/>
          <w:sz w:val="22"/>
          <w:szCs w:val="22"/>
        </w:rPr>
        <w:t xml:space="preserve"> which supported evidence from previous studies (e.g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studies also demonstrated a synergism between monochamol and host volatiles. (Allison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and so it has excellent potential for surveys of beetles of the Genus (Ryall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and ipsenol in lures. Monochamol did not increase catches of other Cerambycidae, bark beetles, other weevils or bark beetle predators.</w:t>
      </w:r>
    </w:p>
    <w:p>
      <w:pPr>
        <w:widowControl w:val="on"/>
        <w:pBdr/>
        <w:spacing w:before="220" w:after="220" w:line="240" w:lineRule="auto"/>
        <w:ind w:left="0" w:right="0"/>
        <w:jc w:val="both"/>
      </w:pPr>
      <w:r>
        <w:rPr>
          <w:rFonts w:ascii="Calibri" w:hAnsi="Calibri" w:eastAsia="Calibri" w:cs="Calibri"/>
          <w:color w:val="000000"/>
          <w:sz w:val="22"/>
          <w:szCs w:val="22"/>
        </w:rPr>
        <w:t xml:space="preserve">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the pathways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scutellatus </w:t>
      </w:r>
      <w:r>
        <w:rPr>
          <w:rFonts w:ascii="Calibri" w:hAnsi="Calibri" w:eastAsia="Calibri" w:cs="Calibri"/>
          <w:color w:val="000000"/>
          <w:sz w:val="22"/>
          <w:szCs w:val="22"/>
        </w:rPr>
        <w:t xml:space="preserve">and so the following information is generic to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naturally disperse by flight. A number of dispersal studies have been carried out with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For example, </w:t>
      </w: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adult were shown to be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Safranyik and Raske (1970) devised a sequential sampling plan to determine the damage caused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to timber. The plan was based on a study in Alberta in which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logs were sampled for </w:t>
      </w:r>
      <w:r>
        <w:rPr>
          <w:rFonts w:ascii="Calibri" w:hAnsi="Calibri" w:eastAsia="Calibri" w:cs="Calibri"/>
          <w:i/>
          <w:iCs/>
          <w:color w:val="000000"/>
          <w:sz w:val="22"/>
          <w:szCs w:val="22"/>
        </w:rPr>
        <w:t xml:space="preserve">M. scutellatus, M. maculosus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The method involved counting larval entrance holes into the logs any time after September following the summer of attack. At densities of greater than 2.5 holes / ft</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(approx. 30cm x 30cm), there was a 30% loss in value of the timber.</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man assisted spread of pine wood nematode can occur over much larger distances with a mean annual dispersal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Between 1998 and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on wood packaging material in the EU (EFSA, 2018). Between 1984 and 2018,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teserula </w:t>
      </w:r>
      <w:r>
        <w:rPr>
          <w:rFonts w:ascii="Calibri" w:hAnsi="Calibri" w:eastAsia="Calibri" w:cs="Calibri"/>
          <w:color w:val="000000"/>
          <w:sz w:val="22"/>
          <w:szCs w:val="22"/>
        </w:rPr>
        <w:t xml:space="preserve">White (1) (Eyre &amp; Haack,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females lay their eggs in various parts of their trees, including smaller branches down to 2 cm in diameter.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because they tend to attack weakened or dead trees and weakened trees are unlikely to be traded (EFSA 2018).  However, the trapping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suggests there would be some risk in importing host trees from North America into the EPPO region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 scutellatus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emerged from timber in a newly built home at Mount Pearl, Newfoundland, Canada (CAIPR, 1967-1983).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can cause economic losses to the forest industry by damaging freshly cut trees during harvesting and at woodyards (Wilson, 1962). </w:t>
      </w:r>
      <w:r>
        <w:rPr>
          <w:rFonts w:ascii="Calibri" w:hAnsi="Calibri" w:eastAsia="Calibri" w:cs="Calibri"/>
          <w:i/>
          <w:iCs/>
          <w:color w:val="000000"/>
          <w:sz w:val="22"/>
          <w:szCs w:val="22"/>
        </w:rPr>
        <w:t xml:space="preserve">M. notatus, M. marmorator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have been trapped in Christmas tree plantations in Nova Scotia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Safranyik and Raske (1970) devised a sequential sampling plan to determine the damage caused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to timber. The plan was based on a study in Alberta in which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logs were sampled for </w:t>
      </w:r>
      <w:r>
        <w:rPr>
          <w:rFonts w:ascii="Calibri" w:hAnsi="Calibri" w:eastAsia="Calibri" w:cs="Calibri"/>
          <w:i/>
          <w:iCs/>
          <w:color w:val="000000"/>
          <w:sz w:val="22"/>
          <w:szCs w:val="22"/>
        </w:rPr>
        <w:t xml:space="preserve">M. scutellatus, M. maculosus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The method involved counting larval entrance holes into the logs any time after September following the summer of attack. At densities of greater than 2.5 holes / ft</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(approx. 30cm x 30cm), there was a 30% loss in value of the timber.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are not considered to be plant pests in their own right because they do not tend to attack healthy trees however, they can and damage and can facilitate the introduction and spread of pine wood nematode in Europe (EFSA, 2018).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rarely, if ever, attack vigorously growing trees (Gibson, 2010). However, the impact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the USA is high, largely due to the export restrictions of forestry products associated with pine 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are also responsible for extensive damage to fire damaged, dying, recently killed, and felled conifers of various species—but especially pines, spruce, true firs, and Douglas-fir.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causes heavy losses to sawlogs and pulpwood in northern states of the USA and Southern Canada (Baker, 1972).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larvae damage infested trees and logs through series of extensive mines that introduce decay-causing fungi (Baker, 1972, Gibson, 2010). Wood chips harvested from wood infested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can be too small for use at pulp mills (Wilson, 1962).</w:t>
      </w:r>
    </w:p>
    <w:p>
      <w:pPr>
        <w:widowControl w:val="on"/>
        <w:pBdr/>
        <w:spacing w:before="220" w:after="220" w:line="240" w:lineRule="auto"/>
        <w:ind w:left="0" w:right="0"/>
        <w:jc w:val="both"/>
      </w:pP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Wilson (1962) studied attacks by wood boring insects on stacks of felled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the most frequently observed cerambycid beetle, accounting for c. 90-95% of all beetles observed.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also occasionally observed. Piles of wood placed in full shade suffered less damage than wood exposed to the sun.  Also, standard piles with less wood exposed to beetle damage suffered less damage than piles stacked in ‘pens’ with wood stacked in open perpendicular layers. The average volume of wood lost from standard piles of wood over two years in the sun ranged from 0.47% of interior logs to 2.64% for exterior logs and for piles in the shade from 0.37% for interior logs to 0.59 % for exterior logs.  Damage to felled wood can be reduced by: i) transporting wood as soon as possible after felling; ii) placing wood in the shade of other trees; 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ichneumonids are natural enemies of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Rhyssa persuasoria </w:t>
      </w:r>
      <w:r>
        <w:rPr>
          <w:rFonts w:ascii="Calibri" w:hAnsi="Calibri" w:eastAsia="Calibri" w:cs="Calibri"/>
          <w:color w:val="000000"/>
          <w:sz w:val="22"/>
          <w:szCs w:val="22"/>
        </w:rPr>
        <w:t xml:space="preserve">(L.) and </w:t>
      </w:r>
      <w:r>
        <w:rPr>
          <w:rFonts w:ascii="Calibri" w:hAnsi="Calibri" w:eastAsia="Calibri" w:cs="Calibri"/>
          <w:i/>
          <w:iCs/>
          <w:color w:val="000000"/>
          <w:sz w:val="22"/>
          <w:szCs w:val="22"/>
        </w:rPr>
        <w:t xml:space="preserve">Rhyssa lineolata </w:t>
      </w:r>
      <w:r>
        <w:rPr>
          <w:rFonts w:ascii="Calibri" w:hAnsi="Calibri" w:eastAsia="Calibri" w:cs="Calibri"/>
          <w:color w:val="000000"/>
          <w:sz w:val="22"/>
          <w:szCs w:val="22"/>
        </w:rPr>
        <w:t xml:space="preserve">(Kby.) as well as the following tachinids: </w:t>
      </w:r>
      <w:r>
        <w:rPr>
          <w:rFonts w:ascii="Calibri" w:hAnsi="Calibri" w:eastAsia="Calibri" w:cs="Calibri"/>
          <w:i/>
          <w:iCs/>
          <w:color w:val="000000"/>
          <w:sz w:val="22"/>
          <w:szCs w:val="22"/>
        </w:rPr>
        <w:t xml:space="preserve">Eutheresia monohammi </w:t>
      </w:r>
      <w:r>
        <w:rPr>
          <w:rFonts w:ascii="Calibri" w:hAnsi="Calibri" w:eastAsia="Calibri" w:cs="Calibri"/>
          <w:color w:val="000000"/>
          <w:sz w:val="22"/>
          <w:szCs w:val="22"/>
        </w:rPr>
        <w:t xml:space="preserve">Townsend and </w:t>
      </w:r>
      <w:r>
        <w:rPr>
          <w:rFonts w:ascii="Calibri" w:hAnsi="Calibri" w:eastAsia="Calibri" w:cs="Calibri"/>
          <w:i/>
          <w:iCs/>
          <w:color w:val="000000"/>
          <w:sz w:val="22"/>
          <w:szCs w:val="22"/>
        </w:rPr>
        <w:t xml:space="preserve">Eutheresia tirvittata </w:t>
      </w:r>
      <w:r>
        <w:rPr>
          <w:rFonts w:ascii="Calibri" w:hAnsi="Calibri" w:eastAsia="Calibri" w:cs="Calibri"/>
          <w:color w:val="000000"/>
          <w:sz w:val="22"/>
          <w:szCs w:val="22"/>
        </w:rPr>
        <w:t xml:space="preserve">Curran; the following entomopathogenic fungi: </w:t>
      </w:r>
      <w:r>
        <w:rPr>
          <w:rFonts w:ascii="Calibri" w:hAnsi="Calibri" w:eastAsia="Calibri" w:cs="Calibri"/>
          <w:i/>
          <w:iCs/>
          <w:color w:val="000000"/>
          <w:sz w:val="22"/>
          <w:szCs w:val="22"/>
        </w:rPr>
        <w:t xml:space="preserve">Beauveria tenella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Beauveria bassiana </w:t>
      </w:r>
      <w:r>
        <w:rPr>
          <w:rFonts w:ascii="Calibri" w:hAnsi="Calibri" w:eastAsia="Calibri" w:cs="Calibri"/>
          <w:color w:val="000000"/>
          <w:sz w:val="22"/>
          <w:szCs w:val="22"/>
        </w:rPr>
        <w:t xml:space="preserve">and the entomopathogenic nematode genus: </w:t>
      </w:r>
      <w:r>
        <w:rPr>
          <w:rFonts w:ascii="Calibri" w:hAnsi="Calibri" w:eastAsia="Calibri" w:cs="Calibri"/>
          <w:i/>
          <w:iCs/>
          <w:color w:val="000000"/>
          <w:sz w:val="22"/>
          <w:szCs w:val="22"/>
        </w:rPr>
        <w:t xml:space="preserve">Hecamermis </w:t>
      </w:r>
      <w:r>
        <w:rPr>
          <w:rFonts w:ascii="Calibri" w:hAnsi="Calibri" w:eastAsia="Calibri" w:cs="Calibri"/>
          <w:color w:val="000000"/>
          <w:sz w:val="22"/>
          <w:szCs w:val="22"/>
        </w:rPr>
        <w:t xml:space="preserve">sp. (Linsley &amp; Chemsak, 1984).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into Europe could introduce pine wood nematode to new locations and hosts and enhance the rate of spread of the pest. Pinewood nematode has causes severe damage to forests in East Asia and in Europe and the impacts are likely to increase (EFSA, 2018).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is known to be an important vector of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in North America (Akbulut &amp; Stamps,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has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Measures to reduce the risk of wood becoming infested during transit include: not transporting wood through infested areas; not transporting wood during the flight season or covering the wood during transit. Debarking of harvested wood can also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For example, there are recommendations by host species to reduce the risk of introducing pinewood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vectors on wood, such as pest free areas, treatment of wood and conditions for the transport of the wood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Stamps WT (2012) Insect vectors of the pinewood nematode: a review of the biology and ecology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Allison JD, Borden JH, McIntosh RL, de Groot P &amp; Gries R (2001) Kairomonal response by four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(Coleoptera : Cerambycidae) to bark beetle pheromones.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633-646.</w:t>
      </w:r>
    </w:p>
    <w:p>
      <w:pPr>
        <w:widowControl w:val="on"/>
        <w:pBdr/>
        <w:spacing w:before="220" w:after="220" w:line="240" w:lineRule="auto"/>
        <w:ind w:left="0" w:right="0"/>
        <w:jc w:val="left"/>
      </w:pPr>
      <w:r>
        <w:rPr>
          <w:rFonts w:ascii="Calibri" w:hAnsi="Calibri" w:eastAsia="Calibri" w:cs="Calibri"/>
          <w:color w:val="000000"/>
          <w:sz w:val="22"/>
          <w:szCs w:val="22"/>
        </w:rPr>
        <w:t xml:space="preserve">Allison JD, McKenney JL, Millar JG, McElfresh JS, Mitchell RF &amp; Hanks LM (2012) Response of the woodborers </w:t>
      </w:r>
      <w:r>
        <w:rPr>
          <w:rFonts w:ascii="Calibri" w:hAnsi="Calibri" w:eastAsia="Calibri" w:cs="Calibri"/>
          <w:i/>
          <w:iCs/>
          <w:color w:val="000000"/>
          <w:sz w:val="22"/>
          <w:szCs w:val="22"/>
        </w:rPr>
        <w:t xml:space="preserve">Monochamus carolinensis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Monochamus titillato</w:t>
      </w:r>
      <w:r>
        <w:rPr>
          <w:rFonts w:ascii="Calibri" w:hAnsi="Calibri" w:eastAsia="Calibri" w:cs="Calibri"/>
          <w:color w:val="000000"/>
          <w:sz w:val="22"/>
          <w:szCs w:val="22"/>
        </w:rPr>
        <w:t xml:space="preserve">r (Coleoptera: Cerambycidae) to known cerambycid pheromones in the presence and absence of the host plant volatile alpha-pinene.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1587-1596.</w:t>
      </w:r>
    </w:p>
    <w:p>
      <w:pPr>
        <w:widowControl w:val="on"/>
        <w:pBdr/>
        <w:spacing w:before="220" w:after="220" w:line="240" w:lineRule="auto"/>
        <w:ind w:left="0" w:right="0"/>
        <w:jc w:val="left"/>
      </w:pPr>
      <w:r>
        <w:rPr>
          <w:rFonts w:ascii="Calibri" w:hAnsi="Calibri" w:eastAsia="Calibri" w:cs="Calibri"/>
          <w:color w:val="000000"/>
          <w:sz w:val="22"/>
          <w:szCs w:val="22"/>
        </w:rPr>
        <w:t xml:space="preserve">Allison JD, Morewood WD, Borden JH, Hein KE &amp; Wilson IM (2003) Differential bio-activity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(Coleoptera: Scolytidae) pheromone components for </w:t>
      </w:r>
      <w:r>
        <w:rPr>
          <w:rFonts w:ascii="Calibri" w:hAnsi="Calibri" w:eastAsia="Calibri" w:cs="Calibri"/>
          <w:i/>
          <w:iCs/>
          <w:color w:val="000000"/>
          <w:sz w:val="22"/>
          <w:szCs w:val="22"/>
        </w:rPr>
        <w:t xml:space="preserve">Monochamus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23-30.</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(1972) </w:t>
      </w:r>
      <w:r>
        <w:rPr>
          <w:rFonts w:ascii="Calibri" w:hAnsi="Calibri" w:eastAsia="Calibri" w:cs="Calibri"/>
          <w:i/>
          <w:iCs/>
          <w:color w:val="000000"/>
          <w:sz w:val="22"/>
          <w:szCs w:val="22"/>
        </w:rPr>
        <w:t xml:space="preserve">Eastern forest insects</w:t>
      </w:r>
      <w:r>
        <w:rPr>
          <w:rFonts w:ascii="Calibri" w:hAnsi="Calibri" w:eastAsia="Calibri" w:cs="Calibri"/>
          <w:color w:val="000000"/>
          <w:sz w:val="22"/>
          <w:szCs w:val="22"/>
        </w:rPr>
        <w:t xml:space="preserve">. U.S. Dept. of Agriculture, Forest Service, Washington.</w:t>
      </w:r>
    </w:p>
    <w:p>
      <w:pPr>
        <w:widowControl w:val="on"/>
        <w:pBdr/>
        <w:spacing w:before="220" w:after="220" w:line="240" w:lineRule="auto"/>
        <w:ind w:left="0" w:right="0"/>
        <w:jc w:val="left"/>
      </w:pPr>
      <w:r>
        <w:rPr>
          <w:rFonts w:ascii="Calibri" w:hAnsi="Calibri" w:eastAsia="Calibri" w:cs="Calibri"/>
          <w:color w:val="000000"/>
          <w:sz w:val="22"/>
          <w:szCs w:val="22"/>
        </w:rPr>
        <w:t xml:space="preserve">Bergdahl D, Halik S, Tomminen J &amp; Akar H (1991) Frequency of infestation of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Vermont.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120.</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 Bishop C &amp; Burgher-MacLellan K (2019) Incidence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Parasitaphelenchidae) in Nova Scotia, Canada Christmas tree (Pinaceae) plantations.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350-364.</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SE, Bishop C &amp; Sweeney J (2017) Incidence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(Coleoptera: Cerambycidae) species in Nova Scotia, Canada Christmas tree plantations and comparison of panel traps and lures from North America and Europe.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191-203.</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CAIPR (1967-1983) </w:t>
      </w:r>
      <w:r>
        <w:rPr>
          <w:rFonts w:ascii="Calibri" w:hAnsi="Calibri" w:eastAsia="Calibri" w:cs="Calibri"/>
          <w:i/>
          <w:iCs/>
          <w:color w:val="000000"/>
          <w:sz w:val="22"/>
          <w:szCs w:val="22"/>
        </w:rPr>
        <w:t xml:space="preserve">(Canadian Agricultural Insect Pest Review)</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de Groot P &amp; Nott R (2001) Evaluation of traps of six different designs to capture pine sawyer beetles (Coleoptera: Cerambycidae).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107-111.</w:t>
      </w:r>
    </w:p>
    <w:p>
      <w:pPr>
        <w:widowControl w:val="on"/>
        <w:pBdr/>
        <w:spacing w:before="220" w:after="220" w:line="240" w:lineRule="auto"/>
        <w:ind w:left="0" w:right="0"/>
        <w:jc w:val="left"/>
      </w:pPr>
      <w:r>
        <w:rPr>
          <w:rFonts w:ascii="Calibri" w:hAnsi="Calibri" w:eastAsia="Calibri" w:cs="Calibri"/>
          <w:color w:val="000000"/>
          <w:sz w:val="22"/>
          <w:szCs w:val="22"/>
        </w:rPr>
        <w:t xml:space="preserve">de Groot P &amp; Nott RW (2004) Response of the whitespotted sawyer beetle,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scutellatus,</w:t>
      </w:r>
      <w:r>
        <w:rPr>
          <w:rFonts w:ascii="Calibri" w:hAnsi="Calibri" w:eastAsia="Calibri" w:cs="Calibri"/>
          <w:color w:val="000000"/>
          <w:sz w:val="22"/>
          <w:szCs w:val="22"/>
        </w:rPr>
        <w:t xml:space="preserve"> and associated woodborers to pheromones of some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Dendroctonus</w:t>
      </w:r>
      <w:r>
        <w:rPr>
          <w:rFonts w:ascii="Calibri" w:hAnsi="Calibri" w:eastAsia="Calibri" w:cs="Calibri"/>
          <w:color w:val="000000"/>
          <w:sz w:val="22"/>
          <w:szCs w:val="22"/>
        </w:rPr>
        <w:t xml:space="preserve"> bark beetles.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483-487.</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et al. (the pine wood nematode). In </w:t>
      </w:r>
      <w:r>
        <w:rPr>
          <w:rFonts w:ascii="Calibri" w:hAnsi="Calibri" w:eastAsia="Calibri" w:cs="Calibri"/>
          <w:i/>
          <w:iCs/>
          <w:color w:val="000000"/>
          <w:sz w:val="22"/>
          <w:szCs w:val="22"/>
        </w:rPr>
        <w:t xml:space="preserve">2012/535</w:t>
      </w:r>
      <w:r>
        <w:rPr>
          <w:rFonts w:ascii="Calibri" w:hAnsi="Calibri" w:eastAsia="Calibri" w:cs="Calibri"/>
          <w:color w:val="000000"/>
          <w:sz w:val="22"/>
          <w:szCs w:val="22"/>
        </w:rPr>
        <w:t xml:space="preserve">, Brussels.</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Fuentealba I (2007) Reproductive behaviour and larval development of </w:t>
      </w:r>
      <w:r>
        <w:rPr>
          <w:rFonts w:ascii="Calibri" w:hAnsi="Calibri" w:eastAsia="Calibri" w:cs="Calibri"/>
          <w:i/>
          <w:iCs/>
          <w:color w:val="000000"/>
          <w:sz w:val="22"/>
          <w:szCs w:val="22"/>
        </w:rPr>
        <w:t xml:space="preserve">Monochamus scutellatus </w:t>
      </w:r>
      <w:r>
        <w:rPr>
          <w:rFonts w:ascii="Calibri" w:hAnsi="Calibri" w:eastAsia="Calibri" w:cs="Calibri"/>
          <w:color w:val="000000"/>
          <w:sz w:val="22"/>
          <w:szCs w:val="22"/>
        </w:rPr>
        <w:t xml:space="preserve">(Say) (Coleoptera: Cerambycidae) in three pine species from the Great Lakes Forest Region. In </w:t>
      </w:r>
      <w:r>
        <w:rPr>
          <w:rFonts w:ascii="Calibri" w:hAnsi="Calibri" w:eastAsia="Calibri" w:cs="Calibri"/>
          <w:i/>
          <w:iCs/>
          <w:color w:val="000000"/>
          <w:sz w:val="22"/>
          <w:szCs w:val="22"/>
        </w:rPr>
        <w:t xml:space="preserve">Faculty of Forestry </w:t>
      </w:r>
      <w:r>
        <w:rPr>
          <w:rFonts w:ascii="Calibri" w:hAnsi="Calibri" w:eastAsia="Calibri" w:cs="Calibri"/>
          <w:color w:val="000000"/>
          <w:sz w:val="22"/>
          <w:szCs w:val="22"/>
        </w:rPr>
        <w:t xml:space="preserve">University of Toronto.</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Hughes AL &amp; Hughes MK (1985) Female choice of mates in a polygynous insect, the whitespotted sawyer </w:t>
      </w:r>
      <w:r>
        <w:rPr>
          <w:rFonts w:ascii="Calibri" w:hAnsi="Calibri" w:eastAsia="Calibri" w:cs="Calibri"/>
          <w:i/>
          <w:iCs/>
          <w:color w:val="000000"/>
          <w:sz w:val="22"/>
          <w:szCs w:val="22"/>
        </w:rPr>
        <w:t xml:space="preserve">Monochamus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Behavioral Ecology and Sociobiology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385-387.</w:t>
      </w:r>
    </w:p>
    <w:p>
      <w:pPr>
        <w:widowControl w:val="on"/>
        <w:pBdr/>
        <w:spacing w:before="220" w:after="220" w:line="240" w:lineRule="auto"/>
        <w:ind w:left="0" w:right="0"/>
        <w:jc w:val="left"/>
      </w:pPr>
      <w:r>
        <w:rPr>
          <w:rFonts w:ascii="Calibri" w:hAnsi="Calibri" w:eastAsia="Calibri" w:cs="Calibri"/>
          <w:color w:val="000000"/>
          <w:sz w:val="22"/>
          <w:szCs w:val="22"/>
        </w:rPr>
        <w:t xml:space="preserve">IRD (2021) Base de données Titan sur les Cerambycidés ou Longicornes.</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 &amp; Chemsak J (1984) </w:t>
      </w:r>
      <w:r>
        <w:rPr>
          <w:rFonts w:ascii="Calibri" w:hAnsi="Calibri" w:eastAsia="Calibri" w:cs="Calibri"/>
          <w:i/>
          <w:iCs/>
          <w:color w:val="000000"/>
          <w:sz w:val="22"/>
          <w:szCs w:val="22"/>
        </w:rPr>
        <w:t xml:space="preserve">The Cerambycidae of North America Part VII, No. 1: taxonomy and classification of the subfamily Lamiinae, tribes Parmeninie through Acanthoderini</w:t>
      </w:r>
      <w:r>
        <w:rPr>
          <w:rFonts w:ascii="Calibri" w:hAnsi="Calibri" w:eastAsia="Calibri" w:cs="Calibri"/>
          <w:color w:val="000000"/>
          <w:sz w:val="22"/>
          <w:szCs w:val="22"/>
        </w:rPr>
        <w:t xml:space="preserve">.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(Olivier 1795).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Congress of Foretry, Spain.</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MC (1986) Within-tree effects of bark beetle insect associates on the emergence of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Peddle S, de Groot P &amp; Smith S (2002) Oviposition behaviour and response of Monochamus scutellatus (Coleoptera: Cerambycidae) to conspecific eggs and larvae.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217-222.</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Rose AH (1957) Some notes on the biology of </w:t>
      </w:r>
      <w:r>
        <w:rPr>
          <w:rFonts w:ascii="Calibri" w:hAnsi="Calibri" w:eastAsia="Calibri" w:cs="Calibri"/>
          <w:i/>
          <w:iCs/>
          <w:color w:val="000000"/>
          <w:sz w:val="22"/>
          <w:szCs w:val="22"/>
        </w:rPr>
        <w:t xml:space="preserve">Monochamus scutellatus </w:t>
      </w:r>
      <w:r>
        <w:rPr>
          <w:rFonts w:ascii="Calibri" w:hAnsi="Calibri" w:eastAsia="Calibri" w:cs="Calibri"/>
          <w:color w:val="000000"/>
          <w:sz w:val="22"/>
          <w:szCs w:val="22"/>
        </w:rPr>
        <w:t xml:space="preserve">(Say) (Coleoptera: Cerambycidae).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547-553.</w:t>
      </w:r>
    </w:p>
    <w:p>
      <w:pPr>
        <w:widowControl w:val="on"/>
        <w:pBdr/>
        <w:spacing w:before="220" w:after="220" w:line="240" w:lineRule="auto"/>
        <w:ind w:left="0" w:right="0"/>
        <w:jc w:val="left"/>
      </w:pPr>
      <w:r>
        <w:rPr>
          <w:rFonts w:ascii="Calibri" w:hAnsi="Calibri" w:eastAsia="Calibri" w:cs="Calibri"/>
          <w:color w:val="000000"/>
          <w:sz w:val="22"/>
          <w:szCs w:val="22"/>
        </w:rPr>
        <w:t xml:space="preserve">Ryall K, Silk P, Webster RP, Gutowski JM, Meng Q, Li Y, Gao W, Fidgen J, Kimoto T, Scarr T, Mastro V &amp; Sweeney JD (2015) Further evidence that monochamol is attractive to</w:t>
      </w:r>
      <w:r>
        <w:rPr>
          <w:rFonts w:ascii="Calibri" w:hAnsi="Calibri" w:eastAsia="Calibri" w:cs="Calibri"/>
          <w:i/>
          <w:iCs/>
          <w:color w:val="000000"/>
          <w:sz w:val="22"/>
          <w:szCs w:val="22"/>
        </w:rPr>
        <w:t xml:space="preserve"> Monochamus</w:t>
      </w:r>
      <w:r>
        <w:rPr>
          <w:rFonts w:ascii="Calibri" w:hAnsi="Calibri" w:eastAsia="Calibri" w:cs="Calibri"/>
          <w:color w:val="000000"/>
          <w:sz w:val="22"/>
          <w:szCs w:val="22"/>
        </w:rPr>
        <w:t xml:space="preserve"> (Coleoptera: Cerambycidae) species, with attraction synergised by host plant volatiles and bark beetle (Coleoptera: Curculionidae) pheromones.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564-579.</w:t>
      </w:r>
    </w:p>
    <w:p>
      <w:pPr>
        <w:widowControl w:val="on"/>
        <w:pBdr/>
        <w:spacing w:before="220" w:after="220" w:line="240" w:lineRule="auto"/>
        <w:ind w:left="0" w:right="0"/>
        <w:jc w:val="left"/>
      </w:pPr>
      <w:r>
        <w:rPr>
          <w:rFonts w:ascii="Calibri" w:hAnsi="Calibri" w:eastAsia="Calibri" w:cs="Calibri"/>
          <w:color w:val="000000"/>
          <w:sz w:val="22"/>
          <w:szCs w:val="22"/>
        </w:rPr>
        <w:t xml:space="preserve">Safranyik L &amp; Raske AG (1970) Sequential sampling plan for larvae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in lodgepole pine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1903-1906.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 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 pp.</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U.S. Dept. of Agriculture, Forest Service, Northern Area State &amp; Private Forestry.</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MJ &amp; Blanchette RA (1983)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Minnesota and Wisconsin - insect associates and transmission studies. </w:t>
      </w:r>
      <w:r>
        <w:rPr>
          <w:rFonts w:ascii="Calibri" w:hAnsi="Calibri" w:eastAsia="Calibri" w:cs="Calibri"/>
          <w:i/>
          <w:iCs/>
          <w:color w:val="000000"/>
          <w:sz w:val="22"/>
          <w:szCs w:val="22"/>
        </w:rPr>
        <w:t xml:space="preserve">Canadian Journal of Forest Research-Revue Canadienne de Recherche Forestière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1068-1076.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scutellatus</w:t>
      </w:r>
      <w:r>
        <w:rPr>
          <w:rFonts w:ascii="Calibri" w:hAnsi="Calibri" w:eastAsia="Calibri" w:cs="Calibri"/>
          <w:color w:val="000000"/>
          <w:sz w:val="22"/>
          <w:szCs w:val="22"/>
        </w:rPr>
        <w:t xml:space="preserve">. EPPO datasheets on pests recommended for regulation. Available online. </w:t>
      </w:r>
      <w:hyperlink r:id="rId16886ac2e06e71d4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6346369" name="name88436ac2e06e71df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0426ac2e06e71df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786721">
    <w:multiLevelType w:val="hybridMultilevel"/>
    <w:lvl w:ilvl="0" w:tplc="57484432">
      <w:start w:val="1"/>
      <w:numFmt w:val="decimal"/>
      <w:lvlText w:val="%1."/>
      <w:lvlJc w:val="left"/>
      <w:pPr>
        <w:ind w:left="720" w:hanging="360"/>
      </w:pPr>
    </w:lvl>
    <w:lvl w:ilvl="1" w:tplc="57484432" w:tentative="1">
      <w:start w:val="1"/>
      <w:numFmt w:val="lowerLetter"/>
      <w:lvlText w:val="%2."/>
      <w:lvlJc w:val="left"/>
      <w:pPr>
        <w:ind w:left="1440" w:hanging="360"/>
      </w:pPr>
    </w:lvl>
    <w:lvl w:ilvl="2" w:tplc="57484432" w:tentative="1">
      <w:start w:val="1"/>
      <w:numFmt w:val="lowerRoman"/>
      <w:lvlText w:val="%3."/>
      <w:lvlJc w:val="right"/>
      <w:pPr>
        <w:ind w:left="2160" w:hanging="180"/>
      </w:pPr>
    </w:lvl>
    <w:lvl w:ilvl="3" w:tplc="57484432" w:tentative="1">
      <w:start w:val="1"/>
      <w:numFmt w:val="decimal"/>
      <w:lvlText w:val="%4."/>
      <w:lvlJc w:val="left"/>
      <w:pPr>
        <w:ind w:left="2880" w:hanging="360"/>
      </w:pPr>
    </w:lvl>
    <w:lvl w:ilvl="4" w:tplc="57484432" w:tentative="1">
      <w:start w:val="1"/>
      <w:numFmt w:val="lowerLetter"/>
      <w:lvlText w:val="%5."/>
      <w:lvlJc w:val="left"/>
      <w:pPr>
        <w:ind w:left="3600" w:hanging="360"/>
      </w:pPr>
    </w:lvl>
    <w:lvl w:ilvl="5" w:tplc="57484432" w:tentative="1">
      <w:start w:val="1"/>
      <w:numFmt w:val="lowerRoman"/>
      <w:lvlText w:val="%6."/>
      <w:lvlJc w:val="right"/>
      <w:pPr>
        <w:ind w:left="4320" w:hanging="180"/>
      </w:pPr>
    </w:lvl>
    <w:lvl w:ilvl="6" w:tplc="57484432" w:tentative="1">
      <w:start w:val="1"/>
      <w:numFmt w:val="decimal"/>
      <w:lvlText w:val="%7."/>
      <w:lvlJc w:val="left"/>
      <w:pPr>
        <w:ind w:left="5040" w:hanging="360"/>
      </w:pPr>
    </w:lvl>
    <w:lvl w:ilvl="7" w:tplc="57484432" w:tentative="1">
      <w:start w:val="1"/>
      <w:numFmt w:val="lowerLetter"/>
      <w:lvlText w:val="%8."/>
      <w:lvlJc w:val="left"/>
      <w:pPr>
        <w:ind w:left="5760" w:hanging="360"/>
      </w:pPr>
    </w:lvl>
    <w:lvl w:ilvl="8" w:tplc="57484432" w:tentative="1">
      <w:start w:val="1"/>
      <w:numFmt w:val="lowerRoman"/>
      <w:lvlText w:val="%9."/>
      <w:lvlJc w:val="right"/>
      <w:pPr>
        <w:ind w:left="6480" w:hanging="180"/>
      </w:pPr>
    </w:lvl>
  </w:abstractNum>
  <w:abstractNum w:abstractNumId="80008737">
    <w:multiLevelType w:val="hybridMultilevel"/>
    <w:lvl w:ilvl="0" w:tplc="71112854">
      <w:start w:val="1"/>
      <w:numFmt w:val="decimal"/>
      <w:lvlText w:val="%1."/>
      <w:lvlJc w:val="left"/>
      <w:pPr>
        <w:ind w:left="720" w:hanging="360"/>
      </w:pPr>
    </w:lvl>
    <w:lvl w:ilvl="1" w:tplc="71112854" w:tentative="1">
      <w:start w:val="1"/>
      <w:numFmt w:val="lowerLetter"/>
      <w:lvlText w:val="%2."/>
      <w:lvlJc w:val="left"/>
      <w:pPr>
        <w:ind w:left="1440" w:hanging="360"/>
      </w:pPr>
    </w:lvl>
    <w:lvl w:ilvl="2" w:tplc="71112854" w:tentative="1">
      <w:start w:val="1"/>
      <w:numFmt w:val="lowerRoman"/>
      <w:lvlText w:val="%3."/>
      <w:lvlJc w:val="right"/>
      <w:pPr>
        <w:ind w:left="2160" w:hanging="180"/>
      </w:pPr>
    </w:lvl>
    <w:lvl w:ilvl="3" w:tplc="71112854" w:tentative="1">
      <w:start w:val="1"/>
      <w:numFmt w:val="decimal"/>
      <w:lvlText w:val="%4."/>
      <w:lvlJc w:val="left"/>
      <w:pPr>
        <w:ind w:left="2880" w:hanging="360"/>
      </w:pPr>
    </w:lvl>
    <w:lvl w:ilvl="4" w:tplc="71112854" w:tentative="1">
      <w:start w:val="1"/>
      <w:numFmt w:val="lowerLetter"/>
      <w:lvlText w:val="%5."/>
      <w:lvlJc w:val="left"/>
      <w:pPr>
        <w:ind w:left="3600" w:hanging="360"/>
      </w:pPr>
    </w:lvl>
    <w:lvl w:ilvl="5" w:tplc="71112854" w:tentative="1">
      <w:start w:val="1"/>
      <w:numFmt w:val="lowerRoman"/>
      <w:lvlText w:val="%6."/>
      <w:lvlJc w:val="right"/>
      <w:pPr>
        <w:ind w:left="4320" w:hanging="180"/>
      </w:pPr>
    </w:lvl>
    <w:lvl w:ilvl="6" w:tplc="71112854" w:tentative="1">
      <w:start w:val="1"/>
      <w:numFmt w:val="decimal"/>
      <w:lvlText w:val="%7."/>
      <w:lvlJc w:val="left"/>
      <w:pPr>
        <w:ind w:left="5040" w:hanging="360"/>
      </w:pPr>
    </w:lvl>
    <w:lvl w:ilvl="7" w:tplc="71112854" w:tentative="1">
      <w:start w:val="1"/>
      <w:numFmt w:val="lowerLetter"/>
      <w:lvlText w:val="%8."/>
      <w:lvlJc w:val="left"/>
      <w:pPr>
        <w:ind w:left="5760" w:hanging="360"/>
      </w:pPr>
    </w:lvl>
    <w:lvl w:ilvl="8" w:tplc="71112854" w:tentative="1">
      <w:start w:val="1"/>
      <w:numFmt w:val="lowerRoman"/>
      <w:lvlText w:val="%9."/>
      <w:lvlJc w:val="right"/>
      <w:pPr>
        <w:ind w:left="6480" w:hanging="180"/>
      </w:pPr>
    </w:lvl>
  </w:abstractNum>
  <w:abstractNum w:abstractNumId="80008736">
    <w:multiLevelType w:val="hybridMultilevel"/>
    <w:lvl w:ilvl="0" w:tplc="57667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08736">
    <w:abstractNumId w:val="80008736"/>
  </w:num>
  <w:num w:numId="80008737">
    <w:abstractNumId w:val="80008737"/>
  </w:num>
  <w:num w:numId="122786721">
    <w:abstractNumId w:val="12278672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7225044" Type="http://schemas.microsoft.com/office/2011/relationships/commentsExtended" Target="commentsExtended.xml"/><Relationship Id="rId255736153" Type="http://schemas.microsoft.com/office/2011/relationships/people" Target="people.xml"/><Relationship Id="rId70336ac2e06e6dd2b" Type="http://schemas.openxmlformats.org/officeDocument/2006/relationships/hyperlink" Target="https://gd.eppo.int/taxon/MONCST/" TargetMode="External"/><Relationship Id="rId94206ac2e06e6dd70" Type="http://schemas.openxmlformats.org/officeDocument/2006/relationships/hyperlink" Target="https://gd.eppo.int/taxon/MONCST/categorization" TargetMode="External"/><Relationship Id="rId86116ac2e06e6e3cd" Type="http://schemas.openxmlformats.org/officeDocument/2006/relationships/hyperlink" Target="https://gd.eppo.int/taxon/MONCST/photos" TargetMode="External"/><Relationship Id="rId16886ac2e06e71d4d" Type="http://schemas.openxmlformats.org/officeDocument/2006/relationships/hyperlink" Target="https://gd.eppo.int" TargetMode="External"/><Relationship Id="rId56026ac2e06e6e26e" Type="http://schemas.openxmlformats.org/officeDocument/2006/relationships/image" Target="media/imgrId56026ac2e06e6e26e.jpg"/><Relationship Id="rId60426ac2e06e71df1" Type="http://schemas.openxmlformats.org/officeDocument/2006/relationships/image" Target="media/imgrId60426ac2e06e71df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