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scutellatus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scutellatus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spotted sawyer</w:t>
            </w:r>
            <w:hyperlink r:id="rId404868feb71e125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99268feb71e125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558788" name="name377968feb71e126b5" descr="18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92.jpg"/>
                          <pic:cNvPicPr/>
                        </pic:nvPicPr>
                        <pic:blipFill>
                          <a:blip r:embed="rId416568feb71e126b3" cstate="print"/>
                          <a:stretch>
                            <a:fillRect/>
                          </a:stretch>
                        </pic:blipFill>
                        <pic:spPr>
                          <a:xfrm>
                            <a:off x="0" y="0"/>
                            <a:ext cx="2160000" cy="1281600"/>
                          </a:xfrm>
                          <a:prstGeom prst="rect">
                            <a:avLst/>
                          </a:prstGeom>
                          <a:ln w="0">
                            <a:noFill/>
                          </a:ln>
                        </pic:spPr>
                      </pic:pic>
                    </a:graphicData>
                  </a:graphic>
                </wp:inline>
              </w:drawing>
            </w:r>
            <w:hyperlink r:id="rId426268feb71e127d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describe two sub-species of </w:t>
      </w:r>
      <w:r>
        <w:rPr>
          <w:rFonts w:ascii="Calibri" w:hAnsi="Calibri" w:eastAsia="Calibri" w:cs="Calibri"/>
          <w:i/>
          <w:iCs/>
          <w:color w:val="000000"/>
          <w:sz w:val="22"/>
          <w:szCs w:val="22"/>
        </w:rPr>
        <w:t xml:space="preserve">M. scutellatus: M. scutellatus scutellatus </w:t>
      </w:r>
      <w:r>
        <w:rPr>
          <w:rFonts w:ascii="Calibri" w:hAnsi="Calibri" w:eastAsia="Calibri" w:cs="Calibri"/>
          <w:color w:val="000000"/>
          <w:sz w:val="22"/>
          <w:szCs w:val="22"/>
        </w:rPr>
        <w:t xml:space="preserve">(Say) (range from Alaska to Newfoundland and North Carolina, British Columbia to New Mexico)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oregonensis </w:t>
      </w:r>
      <w:r>
        <w:rPr>
          <w:rFonts w:ascii="Calibri" w:hAnsi="Calibri" w:eastAsia="Calibri" w:cs="Calibri"/>
          <w:color w:val="000000"/>
          <w:sz w:val="22"/>
          <w:szCs w:val="22"/>
        </w:rPr>
        <w:t xml:space="preserve">(LeConte) (with a range from Washington and Idaho to California). However, the Titan database of cerambycids lists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as the valid name for both sub-species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appears to be the favoured host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but it also attacks many other conifers such as red pine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and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white spruce (common name for more than one species),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red spruce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and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(Baker, 1972).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occurs from Newfoundland south to North Carolina, westwards to Minnesota and north- westwards to Alaska (Baker, 1972), also from British Columbia south to California and Western Nevada (Linsley &amp; Chemsak, 1984).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the most widely distributed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 Eastern Canada (Rose, 1957).</w:t>
      </w:r>
    </w:p>
    <w:p>
      <w:r>
        <w:drawing>
          <wp:inline distT="0" distB="0" distL="0" distR="0">
            <wp:extent cx="6120000" cy="3067200"/>
            <wp:docPr id="94322326" name="name271068feb71e12df4" descr="MONC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ST_distribution_map.jpg"/>
                    <pic:cNvPicPr/>
                  </pic:nvPicPr>
                  <pic:blipFill>
                    <a:blip r:embed="rId170368feb71e12df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Mexico, United States of America (Alabama, Alaska, Arizona, Arkansas, California, Colorado, Connecticut, Delaware, District of Columbia, Florida, Georgia, Idaho, Illinois, Indiana, Iowa, Kentucky, Louisiana, Maine, Maryland, Massachusetts, Michigan, Minnesota, Mississippi, Montana, Nebraska, Nevada, New Hampshire, New Jersey, New Mexico, New York, North Carolina, North Dakota, Ohio, Oregon, Pennsylvania, Rhode Island, South Carolina, Tennessee,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has a two-year life cycle in Canada and the US states surrounding the great lakes. Further south it has a one generation per year. Adults emerge through circular holes cut in the bark and feed for short periods on needles and tender bark of various conifers (Rose, 1957).  Adults are thought to need to have completed a first phase of feeding before they become sexually mature (Fuentealba, 2007).  Males arrive at mating sites and guard the territory until females arrive.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observed arriving at cut logs within a few hours of cutting starting (Wilson, 1962). Mating will take place repeatedly and can disrupt oviposition (Hughes &amp; Hughes, 1985,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Mating generally takes place on warm sunny days, on or near the host tree (Fuentealba, 2007). Eggs are then deposited in slits or notches chewed into the bark, preferably near old branch scars or in wrinkled areas on logs, pulpwood and recently killed trees (Baker, 1972). The choice of an oviposition site within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logs was shown to be influenced positively by diameter and negatively by outer bark thickness (Fuentealba, 2007). Females primarily make ovipositional scars and lay eggs 3-4 cm apart in field conditions (Fuentealba, 2007). Females are less inclined to lay eggs on wood that has already been used by other females. Female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cut more scars than are used for oviposition suggesting that they need to excavate the bark before they can fully assess the suitability of a site for egg deposition and this may relate to phloem thickness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final stage of egg laying involves the female depositing a jelly like substance over the egg with her abdomen. This substance may be to protect against desiccation, predators and parasitoids (Fuentealba,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Sioux Lookout district of Ontario,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adults emerge during June and July. About 23 months are required for development from egg to adult. There is thought to be a gap of seven to ten days between adult emergence and mating. In this district mating has been observed to take place in the afternoon on bright sunny days and was followed almost immediately by egg laying into slits cut into the bark. Oviposition tended to occur in partial shade with most eggs laid on the lower surface or side of logs. Approximately 70% of all slits cut into the bark were empty. Slits containing eggs were almost invariably cut into small cavities in the bark that appeared to be small empty resin blisters. Over the course of a six-year study, the oviposition period varied from seven to ten weeks, but in each year, 90% of eggs were laid during a period of four to six weeks. The date of the first oviposition varied between early June and early July (Rose, 1957).</w:t>
      </w:r>
    </w:p>
    <w:p>
      <w:pPr>
        <w:widowControl w:val="on"/>
        <w:pBdr/>
        <w:spacing w:before="220" w:after="220" w:line="240" w:lineRule="auto"/>
        <w:ind w:left="0" w:right="0"/>
        <w:jc w:val="both"/>
      </w:pPr>
      <w:r>
        <w:rPr>
          <w:rFonts w:ascii="Calibri" w:hAnsi="Calibri" w:eastAsia="Calibri" w:cs="Calibri"/>
          <w:color w:val="000000"/>
          <w:sz w:val="22"/>
          <w:szCs w:val="22"/>
        </w:rPr>
        <w:t xml:space="preserve">At Sioux Lookout, the egg stage lasts nine to fourteen days with a mean of twelve days. After hatching, larvae consume egg remnants and tunnel directly through the phloem to the cambium which takes two to three days. Flat mines are created in the cambium over the course of two to three weeks. Second stage larvae also feed on the cambium, widening, and extending the mines, noticeably scoring the wood surface, a phase lasting a further two to three weeks.  Cannibalism can occur if larval density is high. The third instar is reached in early September, and this is the stage that starts to tunnel into the wood, although the larvae return to surface of the wood to feed. Extrusions of excess frass can become noticeable at this time. The majority of the first-year larvae overwinter in the third instar with a minority overwintering as second and fourth instars. In the autumn, activity continues until continuous cold weather starts. Second year larvae become active as soon as the first warm weather starts. The rate of larval growth has been found to relate to the thickness of the inner bark of hosts (Fuentealba, 2007). By mid-August, most of the population are fourth instars. By mid-summer, most larvae have reached their deepest point within the wood and are starting to tunnel towards the surface, although throughout the summer the larvae also continue to feed on the surface extruding large amounts of frass. By late September, pupal chambers are constructed within 5mm of the surface of the wood and the second winter is spent in the pre-pupal stage. Pupation takes place in the third summer about two weeks before the adults emerge. The start of adult emergence can be as early as late May and as late as mid-June (Rose, 1957).  </w:t>
      </w:r>
    </w:p>
    <w:p>
      <w:pPr>
        <w:widowControl w:val="on"/>
        <w:pBdr/>
        <w:spacing w:before="220" w:after="220" w:line="240" w:lineRule="auto"/>
        <w:ind w:left="0" w:right="0"/>
        <w:jc w:val="both"/>
      </w:pPr>
      <w:r>
        <w:rPr>
          <w:rFonts w:ascii="Calibri" w:hAnsi="Calibri" w:eastAsia="Calibri" w:cs="Calibri"/>
          <w:color w:val="000000"/>
          <w:sz w:val="22"/>
          <w:szCs w:val="22"/>
        </w:rPr>
        <w:t xml:space="preserve">Rose (1957) calculated that less than 2% of eggs laid on logs reached maturity. The main cause of mortality was the desiccation of eggs exposed to the sun and the second was cannibalism.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considered to be the second most important vector of pine wood nematode in the USA after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17721432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17721432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17721432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17721432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17721432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and oblong with an average size of 3.0 mm long by 0.9 mm wide.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larvae are creamy white, without legs, and have an amber-brown head with a pair of short mandibles. Larvae measure up to 50 mm long and 5 mm wide at the thorax and can be found year-round inside the host plant. Pupae are white and soft like the larvae; they resemble adults (20-25 mm long). As the pupa ages, the mouthparts, legs, antennae and wings become more distinct; when fully developed, it turns brown and its exoskeleton hardens (Fuentealba, 2007).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males are completely shiny black except for a small rounded white spot at the base of the elytra, females are either the same colour or have an elytra mottled with white spots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more detailed description of the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 to large; integument black, shining, often with a brassy caste, appendages often partially reddish, pubescence sparse to moderately dense, short, brownish, appressed. Head with a front convex, finely to coarsely confluently punctate, usually sparsely clothed with fine recumbent pubescence genae longer than lower eye lobe, parallel to slightly convergent; antennae extending five or six segments beyond elytra, usually twice the length of the body, segments finely, very densely aspirate, nonpubescent, segments from third or fourth with apical sensory areas. Pronotum about as broad as long, lateral tubercles strongly produced, apices blunt; apical and basal transverse impressions shallow, plicate; disk irregularly, transversely punctate at middle, center often longitudinally impressed; pubescence sparse, short, fine; prosternum glabrous to moderately pubescent; meso- and metasternum sparsely to densely clothed with long suberect hairs and often small patches of white appressed pubescence. Elytra a little more than twice as long as broad; punctures coarse, transverse, rugose appearing, becoming finer toward apex; pubescence very fine, brownish, sparse to moderately dense, often with small patches of white appressed pubescence at basal one-third; apices rounded. Scutellum apically rounded, densely white pubescent, usually with a glabrous median line. Legs finely gray pubescent. Abdomen sparsely to moderately densely pubescent; last sternite rounded to subtruncate at apex. Length 13-35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extending two or three segments beyond elytra, segments apically broadly white annulate, not asperate. Elytra usually with scattered small patches of white appressed pubescence. Abdomen with last sternite truncate to shallowly emarginate at apex, densely tufted. Length 14-30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inspections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lures consisting of 95% (-)-α-pinene, (±)-ipsenol and (±)-ipsdienol were attractive to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the compounds were not tested individually (de Groot &amp; Nott, 2001).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found that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attracted to a blend of ipsenol, ipsdienol, frontalin and 3-methyl-2-cyclohexen-1-one. In a study in British Columbia,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showed that ipsenol was superior to ipsdienol as an attractant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and recommended that it should be used for mass trapping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or that ipsdienol was attractive to either species when either compound was used at release rates commonly used for bark beetles. Traps baited with ipsenol were more effective than unbaited traps at catching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not more effective than α-pinene.</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studies also demonstrated a synergism between monochamol and host volatiles.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scutellatus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scutellatus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 from timber in a newly built home at Mount Pearl, Newfoundland, Canada (CAIPR, 1967-1983).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can cause economic losses to the forest industry by damaging freshly cut trees during harvesting and at woodyards (Wilson, 1962).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causes heavy losses to sawlogs and pulpwood in northern states of the USA and Southern Canada (Baker, 1972).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20" w:after="220" w:line="240" w:lineRule="auto"/>
        <w:ind w:left="0" w:right="0"/>
        <w:jc w:val="both"/>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ichneumonids are natural enemies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persuasoria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Rhyssa lineolata </w:t>
      </w:r>
      <w:r>
        <w:rPr>
          <w:rFonts w:ascii="Calibri" w:hAnsi="Calibri" w:eastAsia="Calibri" w:cs="Calibri"/>
          <w:color w:val="000000"/>
          <w:sz w:val="22"/>
          <w:szCs w:val="22"/>
        </w:rPr>
        <w:t xml:space="preserve">(Kby.) as well as the following tachinids: </w:t>
      </w:r>
      <w:r>
        <w:rPr>
          <w:rFonts w:ascii="Calibri" w:hAnsi="Calibri" w:eastAsia="Calibri" w:cs="Calibri"/>
          <w:i/>
          <w:iCs/>
          <w:color w:val="000000"/>
          <w:sz w:val="22"/>
          <w:szCs w:val="22"/>
        </w:rPr>
        <w:t xml:space="preserve">Eutheresia monohammi </w:t>
      </w:r>
      <w:r>
        <w:rPr>
          <w:rFonts w:ascii="Calibri" w:hAnsi="Calibri" w:eastAsia="Calibri" w:cs="Calibri"/>
          <w:color w:val="000000"/>
          <w:sz w:val="22"/>
          <w:szCs w:val="22"/>
        </w:rPr>
        <w:t xml:space="preserve">Townsend and </w:t>
      </w:r>
      <w:r>
        <w:rPr>
          <w:rFonts w:ascii="Calibri" w:hAnsi="Calibri" w:eastAsia="Calibri" w:cs="Calibri"/>
          <w:i/>
          <w:iCs/>
          <w:color w:val="000000"/>
          <w:sz w:val="22"/>
          <w:szCs w:val="22"/>
        </w:rPr>
        <w:t xml:space="preserve">Eutheresia tirvittata </w:t>
      </w:r>
      <w:r>
        <w:rPr>
          <w:rFonts w:ascii="Calibri" w:hAnsi="Calibri" w:eastAsia="Calibri" w:cs="Calibri"/>
          <w:color w:val="000000"/>
          <w:sz w:val="22"/>
          <w:szCs w:val="22"/>
        </w:rPr>
        <w:t xml:space="preserve">Curran; the following entomopathogenic fungi: </w:t>
      </w:r>
      <w:r>
        <w:rPr>
          <w:rFonts w:ascii="Calibri" w:hAnsi="Calibri" w:eastAsia="Calibri" w:cs="Calibri"/>
          <w:i/>
          <w:iCs/>
          <w:color w:val="000000"/>
          <w:sz w:val="22"/>
          <w:szCs w:val="22"/>
        </w:rPr>
        <w:t xml:space="preserve">Beauveria tenella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 the entomopathogenic nematode genus: </w:t>
      </w:r>
      <w:r>
        <w:rPr>
          <w:rFonts w:ascii="Calibri" w:hAnsi="Calibri" w:eastAsia="Calibri" w:cs="Calibri"/>
          <w:i/>
          <w:iCs/>
          <w:color w:val="000000"/>
          <w:sz w:val="22"/>
          <w:szCs w:val="22"/>
        </w:rPr>
        <w:t xml:space="preserve">Hecamermis </w:t>
      </w:r>
      <w:r>
        <w:rPr>
          <w:rFonts w:ascii="Calibri" w:hAnsi="Calibri" w:eastAsia="Calibri" w:cs="Calibri"/>
          <w:color w:val="000000"/>
          <w:sz w:val="22"/>
          <w:szCs w:val="22"/>
        </w:rPr>
        <w:t xml:space="preserve">sp. (Linsley &amp; Chemsak,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(EFSA, 2018).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known to be an important vector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North America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Borden JH, McIntosh RL, de Groot P &amp; Gries R (2001) Kairomonal response by four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 Cerambycidae) to bark beetle pheromones.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633-646.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w:t>
      </w:r>
      <w:r>
        <w:rPr>
          <w:rFonts w:ascii="Calibri" w:hAnsi="Calibri" w:eastAsia="Calibri" w:cs="Calibri"/>
          <w:color w:val="000000"/>
          <w:sz w:val="22"/>
          <w:szCs w:val="22"/>
        </w:rPr>
        <w:t xml:space="preserve">r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Morewood WD, Borden JH, Hein KE &amp; Wilson IM (2003) Differential bio-activity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Scolytidae) pheromone components for </w:t>
      </w:r>
      <w:r>
        <w:rPr>
          <w:rFonts w:ascii="Calibri" w:hAnsi="Calibri" w:eastAsia="Calibri" w:cs="Calibri"/>
          <w:i/>
          <w:iCs/>
          <w:color w:val="000000"/>
          <w:sz w:val="22"/>
          <w:szCs w:val="22"/>
        </w:rPr>
        <w:t xml:space="preserve">Monochamus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CAIPR (1967-1983) </w:t>
      </w:r>
      <w:r>
        <w:rPr>
          <w:rFonts w:ascii="Calibri" w:hAnsi="Calibri" w:eastAsia="Calibri" w:cs="Calibri"/>
          <w:i/>
          <w:iCs/>
          <w:color w:val="000000"/>
          <w:sz w:val="22"/>
          <w:szCs w:val="22"/>
        </w:rPr>
        <w:t xml:space="preserve">(Canadian Agricultural Insect Pest Review)</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 (2001) Evaluation of traps of six different designs to capture pine sawyer beetles (Coleoptera: Cerambycidae).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scutellatus,</w:t>
      </w:r>
      <w:r>
        <w:rPr>
          <w:rFonts w:ascii="Calibri" w:hAnsi="Calibri" w:eastAsia="Calibri" w:cs="Calibri"/>
          <w:color w:val="000000"/>
          <w:sz w:val="22"/>
          <w:szCs w:val="22"/>
        </w:rPr>
        <w:t xml:space="preserve"> and associated woodborers to pheromones of some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Fuentealba I (2007) Reproductive behaviour and larval development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in three pine species from the Great Lakes Forest Region. In </w:t>
      </w:r>
      <w:r>
        <w:rPr>
          <w:rFonts w:ascii="Calibri" w:hAnsi="Calibri" w:eastAsia="Calibri" w:cs="Calibri"/>
          <w:i/>
          <w:iCs/>
          <w:color w:val="000000"/>
          <w:sz w:val="22"/>
          <w:szCs w:val="22"/>
        </w:rPr>
        <w:t xml:space="preserve">Faculty of Forestry </w:t>
      </w:r>
      <w:r>
        <w:rPr>
          <w:rFonts w:ascii="Calibri" w:hAnsi="Calibri" w:eastAsia="Calibri" w:cs="Calibri"/>
          <w:color w:val="000000"/>
          <w:sz w:val="22"/>
          <w:szCs w:val="22"/>
        </w:rPr>
        <w:t xml:space="preserve">University of Toronto.</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AL &amp; Hughes MK (1985) Female choice of mates in a polygynous insect, the whitespotted sawyer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Behavioral Ecology and Sociobiology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385-387.</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Peddle S, de Groot P &amp; Smith S (2002) Oviposition behaviour and response of Monochamus scutellatus (Coleoptera: Cerambycidae) to conspecific eggs and larvae.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217-222.</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 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EPPO datasheets on pests recommended for regulation. Available online. </w:t>
      </w:r>
      <w:hyperlink r:id="rId608468feb71e15d7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1709458" name="name361268feb71e15e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5568feb71e15e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7214323">
    <w:multiLevelType w:val="hybridMultilevel"/>
    <w:lvl w:ilvl="0" w:tplc="65154470">
      <w:start w:val="1"/>
      <w:numFmt w:val="decimal"/>
      <w:lvlText w:val="%1."/>
      <w:lvlJc w:val="left"/>
      <w:pPr>
        <w:ind w:left="720" w:hanging="360"/>
      </w:pPr>
    </w:lvl>
    <w:lvl w:ilvl="1" w:tplc="65154470" w:tentative="1">
      <w:start w:val="1"/>
      <w:numFmt w:val="lowerLetter"/>
      <w:lvlText w:val="%2."/>
      <w:lvlJc w:val="left"/>
      <w:pPr>
        <w:ind w:left="1440" w:hanging="360"/>
      </w:pPr>
    </w:lvl>
    <w:lvl w:ilvl="2" w:tplc="65154470" w:tentative="1">
      <w:start w:val="1"/>
      <w:numFmt w:val="lowerRoman"/>
      <w:lvlText w:val="%3."/>
      <w:lvlJc w:val="right"/>
      <w:pPr>
        <w:ind w:left="2160" w:hanging="180"/>
      </w:pPr>
    </w:lvl>
    <w:lvl w:ilvl="3" w:tplc="65154470" w:tentative="1">
      <w:start w:val="1"/>
      <w:numFmt w:val="decimal"/>
      <w:lvlText w:val="%4."/>
      <w:lvlJc w:val="left"/>
      <w:pPr>
        <w:ind w:left="2880" w:hanging="360"/>
      </w:pPr>
    </w:lvl>
    <w:lvl w:ilvl="4" w:tplc="65154470" w:tentative="1">
      <w:start w:val="1"/>
      <w:numFmt w:val="lowerLetter"/>
      <w:lvlText w:val="%5."/>
      <w:lvlJc w:val="left"/>
      <w:pPr>
        <w:ind w:left="3600" w:hanging="360"/>
      </w:pPr>
    </w:lvl>
    <w:lvl w:ilvl="5" w:tplc="65154470" w:tentative="1">
      <w:start w:val="1"/>
      <w:numFmt w:val="lowerRoman"/>
      <w:lvlText w:val="%6."/>
      <w:lvlJc w:val="right"/>
      <w:pPr>
        <w:ind w:left="4320" w:hanging="180"/>
      </w:pPr>
    </w:lvl>
    <w:lvl w:ilvl="6" w:tplc="65154470" w:tentative="1">
      <w:start w:val="1"/>
      <w:numFmt w:val="decimal"/>
      <w:lvlText w:val="%7."/>
      <w:lvlJc w:val="left"/>
      <w:pPr>
        <w:ind w:left="5040" w:hanging="360"/>
      </w:pPr>
    </w:lvl>
    <w:lvl w:ilvl="7" w:tplc="65154470" w:tentative="1">
      <w:start w:val="1"/>
      <w:numFmt w:val="lowerLetter"/>
      <w:lvlText w:val="%8."/>
      <w:lvlJc w:val="left"/>
      <w:pPr>
        <w:ind w:left="5760" w:hanging="360"/>
      </w:pPr>
    </w:lvl>
    <w:lvl w:ilvl="8" w:tplc="65154470" w:tentative="1">
      <w:start w:val="1"/>
      <w:numFmt w:val="lowerRoman"/>
      <w:lvlText w:val="%9."/>
      <w:lvlJc w:val="right"/>
      <w:pPr>
        <w:ind w:left="6480" w:hanging="180"/>
      </w:pPr>
    </w:lvl>
  </w:abstractNum>
  <w:abstractNum w:abstractNumId="14117066">
    <w:multiLevelType w:val="hybridMultilevel"/>
    <w:lvl w:ilvl="0" w:tplc="23723291">
      <w:start w:val="1"/>
      <w:numFmt w:val="decimal"/>
      <w:lvlText w:val="%1."/>
      <w:lvlJc w:val="left"/>
      <w:pPr>
        <w:ind w:left="720" w:hanging="360"/>
      </w:pPr>
    </w:lvl>
    <w:lvl w:ilvl="1" w:tplc="23723291" w:tentative="1">
      <w:start w:val="1"/>
      <w:numFmt w:val="lowerLetter"/>
      <w:lvlText w:val="%2."/>
      <w:lvlJc w:val="left"/>
      <w:pPr>
        <w:ind w:left="1440" w:hanging="360"/>
      </w:pPr>
    </w:lvl>
    <w:lvl w:ilvl="2" w:tplc="23723291" w:tentative="1">
      <w:start w:val="1"/>
      <w:numFmt w:val="lowerRoman"/>
      <w:lvlText w:val="%3."/>
      <w:lvlJc w:val="right"/>
      <w:pPr>
        <w:ind w:left="2160" w:hanging="180"/>
      </w:pPr>
    </w:lvl>
    <w:lvl w:ilvl="3" w:tplc="23723291" w:tentative="1">
      <w:start w:val="1"/>
      <w:numFmt w:val="decimal"/>
      <w:lvlText w:val="%4."/>
      <w:lvlJc w:val="left"/>
      <w:pPr>
        <w:ind w:left="2880" w:hanging="360"/>
      </w:pPr>
    </w:lvl>
    <w:lvl w:ilvl="4" w:tplc="23723291" w:tentative="1">
      <w:start w:val="1"/>
      <w:numFmt w:val="lowerLetter"/>
      <w:lvlText w:val="%5."/>
      <w:lvlJc w:val="left"/>
      <w:pPr>
        <w:ind w:left="3600" w:hanging="360"/>
      </w:pPr>
    </w:lvl>
    <w:lvl w:ilvl="5" w:tplc="23723291" w:tentative="1">
      <w:start w:val="1"/>
      <w:numFmt w:val="lowerRoman"/>
      <w:lvlText w:val="%6."/>
      <w:lvlJc w:val="right"/>
      <w:pPr>
        <w:ind w:left="4320" w:hanging="180"/>
      </w:pPr>
    </w:lvl>
    <w:lvl w:ilvl="6" w:tplc="23723291" w:tentative="1">
      <w:start w:val="1"/>
      <w:numFmt w:val="decimal"/>
      <w:lvlText w:val="%7."/>
      <w:lvlJc w:val="left"/>
      <w:pPr>
        <w:ind w:left="5040" w:hanging="360"/>
      </w:pPr>
    </w:lvl>
    <w:lvl w:ilvl="7" w:tplc="23723291" w:tentative="1">
      <w:start w:val="1"/>
      <w:numFmt w:val="lowerLetter"/>
      <w:lvlText w:val="%8."/>
      <w:lvlJc w:val="left"/>
      <w:pPr>
        <w:ind w:left="5760" w:hanging="360"/>
      </w:pPr>
    </w:lvl>
    <w:lvl w:ilvl="8" w:tplc="23723291" w:tentative="1">
      <w:start w:val="1"/>
      <w:numFmt w:val="lowerRoman"/>
      <w:lvlText w:val="%9."/>
      <w:lvlJc w:val="right"/>
      <w:pPr>
        <w:ind w:left="6480" w:hanging="180"/>
      </w:pPr>
    </w:lvl>
  </w:abstractNum>
  <w:abstractNum w:abstractNumId="14117065">
    <w:multiLevelType w:val="hybridMultilevel"/>
    <w:lvl w:ilvl="0" w:tplc="686337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117065">
    <w:abstractNumId w:val="14117065"/>
  </w:num>
  <w:num w:numId="14117066">
    <w:abstractNumId w:val="14117066"/>
  </w:num>
  <w:num w:numId="177214323">
    <w:abstractNumId w:val="1772143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3765898" Type="http://schemas.microsoft.com/office/2011/relationships/commentsExtended" Target="commentsExtended.xml"/><Relationship Id="rId384334293" Type="http://schemas.microsoft.com/office/2011/relationships/people" Target="people.xml"/><Relationship Id="rId404868feb71e125a1" Type="http://schemas.openxmlformats.org/officeDocument/2006/relationships/hyperlink" Target="https://gd.eppo.int/taxon/MONCST/" TargetMode="External"/><Relationship Id="rId699268feb71e125e7" Type="http://schemas.openxmlformats.org/officeDocument/2006/relationships/hyperlink" Target="https://gd.eppo.int/taxon/MONCST/categorization" TargetMode="External"/><Relationship Id="rId426268feb71e127d7" Type="http://schemas.openxmlformats.org/officeDocument/2006/relationships/hyperlink" Target="https://gd.eppo.int/taxon/MONCST/photos" TargetMode="External"/><Relationship Id="rId608468feb71e15d7f" Type="http://schemas.openxmlformats.org/officeDocument/2006/relationships/hyperlink" Target="https://gd.eppo.int" TargetMode="External"/><Relationship Id="rId416568feb71e126b3" Type="http://schemas.openxmlformats.org/officeDocument/2006/relationships/image" Target="media/imgrId416568feb71e126b3.jpg"/><Relationship Id="rId170368feb71e12df2" Type="http://schemas.openxmlformats.org/officeDocument/2006/relationships/image" Target="media/imgrId170368feb71e12df2.jpg"/><Relationship Id="rId145568feb71e15e2a" Type="http://schemas.openxmlformats.org/officeDocument/2006/relationships/image" Target="media/imgrId145568feb71e15e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