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nitens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nitens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Bates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hyperlink r:id="rId74356aaf70016e79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50996aaf70016e7d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MONCNI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0539987" name="name30756aaf70016f143" descr="13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63.jpg"/>
                          <pic:cNvPicPr/>
                        </pic:nvPicPr>
                        <pic:blipFill>
                          <a:blip r:embed="rId83956aaf70016f142" cstate="print"/>
                          <a:stretch>
                            <a:fillRect/>
                          </a:stretch>
                        </pic:blipFill>
                        <pic:spPr>
                          <a:xfrm>
                            <a:off x="0" y="0"/>
                            <a:ext cx="2160000" cy="1281600"/>
                          </a:xfrm>
                          <a:prstGeom prst="rect">
                            <a:avLst/>
                          </a:prstGeom>
                          <a:ln w="0">
                            <a:noFill/>
                          </a:ln>
                        </pic:spPr>
                      </pic:pic>
                    </a:graphicData>
                  </a:graphic>
                </wp:inline>
              </w:drawing>
            </w:r>
            <w:hyperlink r:id="rId25476aaf70016f25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nitens</w:t>
      </w:r>
      <w:r>
        <w:rPr>
          <w:rFonts w:ascii="Calibri" w:hAnsi="Calibri" w:eastAsia="Calibri" w:cs="Calibri"/>
          <w:color w:val="000000"/>
          <w:sz w:val="22"/>
          <w:szCs w:val="22"/>
        </w:rPr>
        <w:t xml:space="preserve"> was originally described from a specimen caught on a felled </w:t>
      </w:r>
      <w:r>
        <w:rPr>
          <w:rFonts w:ascii="Calibri" w:hAnsi="Calibri" w:eastAsia="Calibri" w:cs="Calibri"/>
          <w:i/>
          <w:iCs/>
          <w:color w:val="000000"/>
          <w:sz w:val="22"/>
          <w:szCs w:val="22"/>
        </w:rPr>
        <w:t xml:space="preserve">Abies </w:t>
      </w:r>
      <w:r>
        <w:rPr>
          <w:rFonts w:ascii="Calibri" w:hAnsi="Calibri" w:eastAsia="Calibri" w:cs="Calibri"/>
          <w:color w:val="000000"/>
          <w:sz w:val="22"/>
          <w:szCs w:val="22"/>
        </w:rPr>
        <w:t xml:space="preserve">sp. in Niojozan, Japan in the middle of August (Bates, 1884). </w:t>
      </w:r>
      <w:r>
        <w:rPr>
          <w:rFonts w:ascii="Calibri" w:hAnsi="Calibri" w:eastAsia="Calibri" w:cs="Calibri"/>
          <w:i/>
          <w:iCs/>
          <w:color w:val="000000"/>
          <w:sz w:val="22"/>
          <w:szCs w:val="22"/>
        </w:rPr>
        <w:t xml:space="preserve">M. griseonotatus </w:t>
      </w:r>
      <w:r>
        <w:rPr>
          <w:rFonts w:ascii="Calibri" w:hAnsi="Calibri" w:eastAsia="Calibri" w:cs="Calibri"/>
          <w:color w:val="000000"/>
          <w:sz w:val="22"/>
          <w:szCs w:val="22"/>
        </w:rPr>
        <w:t xml:space="preserve">is considered to be a synonym of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(IRD, 2021). Genetically </w:t>
      </w:r>
      <w:r>
        <w:rPr>
          <w:rFonts w:ascii="Calibri" w:hAnsi="Calibri" w:eastAsia="Calibri" w:cs="Calibri"/>
          <w:i/>
          <w:iCs/>
          <w:color w:val="000000"/>
          <w:sz w:val="22"/>
          <w:szCs w:val="22"/>
        </w:rPr>
        <w:t xml:space="preserve">M. nitens</w:t>
      </w:r>
      <w:r>
        <w:rPr>
          <w:rFonts w:ascii="Calibri" w:hAnsi="Calibri" w:eastAsia="Calibri" w:cs="Calibri"/>
          <w:color w:val="000000"/>
          <w:sz w:val="22"/>
          <w:szCs w:val="22"/>
        </w:rPr>
        <w:t xml:space="preserve"> is described as a sister species to </w:t>
      </w:r>
      <w:r>
        <w:rPr>
          <w:rFonts w:ascii="Calibri" w:hAnsi="Calibri" w:eastAsia="Calibri" w:cs="Calibri"/>
          <w:i/>
          <w:iCs/>
          <w:color w:val="000000"/>
          <w:sz w:val="22"/>
          <w:szCs w:val="22"/>
        </w:rPr>
        <w:t xml:space="preserve">M. urussovii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and is believed to have diverged from the Eurasian mainland species </w:t>
      </w:r>
      <w:r>
        <w:rPr>
          <w:rFonts w:ascii="Calibri" w:hAnsi="Calibri" w:eastAsia="Calibri" w:cs="Calibri"/>
          <w:i/>
          <w:iCs/>
          <w:color w:val="000000"/>
          <w:sz w:val="22"/>
          <w:szCs w:val="22"/>
        </w:rPr>
        <w:t xml:space="preserve">M. urussovii </w:t>
      </w:r>
      <w:r>
        <w:rPr>
          <w:rFonts w:ascii="Calibri" w:hAnsi="Calibri" w:eastAsia="Calibri" w:cs="Calibri"/>
          <w:color w:val="000000"/>
          <w:sz w:val="22"/>
          <w:szCs w:val="22"/>
        </w:rPr>
        <w:t xml:space="preserve">species approximately 1.4 million years ago (Gorring,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Larix kaempferi, </w:t>
      </w:r>
      <w:r>
        <w:rPr>
          <w:rFonts w:ascii="Calibri" w:hAnsi="Calibri" w:eastAsia="Calibri" w:cs="Calibri"/>
          <w:color w:val="000000"/>
          <w:sz w:val="22"/>
          <w:szCs w:val="22"/>
        </w:rPr>
        <w:t xml:space="preserve">which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a known host of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is an important timber species in Northern and Central Europe. There are important forestry species for the EPPO region among the other known host genera, namely </w:t>
      </w:r>
      <w:r>
        <w:rPr>
          <w:rFonts w:ascii="Calibri" w:hAnsi="Calibri" w:eastAsia="Calibri" w:cs="Calibri"/>
          <w:i/>
          <w:iCs/>
          <w:color w:val="000000"/>
          <w:sz w:val="22"/>
          <w:szCs w:val="22"/>
        </w:rPr>
        <w:t xml:space="preserve">Abies, Picea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Pinus.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firma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mariesii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has been recorded in three countries in the Far East of Asia and is not known to be established as an invasive species elsewhere.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prefers ‘cool areas i.e. high latitudes and is not distributed around the Hachioji (Tokyo) area’ (Kanzaki &amp; Akiba, 2014).</w:t>
      </w:r>
    </w:p>
    <w:p>
      <w:r>
        <w:drawing>
          <wp:inline distT="0" distB="0" distL="0" distR="0">
            <wp:extent cx="6120000" cy="3067200"/>
            <wp:docPr id="35492825" name="name77166aaf700170126" descr="MONCN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NI_distribution_map.jpg"/>
                    <pic:cNvPicPr/>
                  </pic:nvPicPr>
                  <pic:blipFill>
                    <a:blip r:embed="rId54926aaf70017012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(Hokkaido, Honshu, Kyushu, Shikoku), Korea, Republic of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little published data on the biology of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other than the fact that in Japan, adult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fly in July and August (Cherepanov</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1990). The following information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or relates to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and is from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Complete development takes from several months to two years and can vary within a species depending on when the eggs were laid, the host and environmental conditions. In Japan,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usually has one generation a year, but in cooler areas, 20-30% of beetles have a two-year lifecycle. Larval development can be stopped at the final larval instar by diapause. In Southern China,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is bivoltine. After maturation feeding and mating, female beetles use their mandibles to create oviposition slits in the bark of host trees and lay their eggs in the slits. Egg incubation normally takes six to nine days. Early instar larvae develop in the subcortical zone of host trees. The later instars create galleries in the sapwood and pupate at the upper end of a gallery after sealing the entrance with wood shavings. Adults emerge by chewing a round exit hole in the wood and bark and after emergence feed on fresh bark of host tree twigs during the day. This feeding is necessary for the development of the female reproductive system. Generally maturation feeding occurs for 10-14 days in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The mean longevity of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females as adults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83 days. The recorded fecundity of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ranges from 33 to 581 eggs per female.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are more likely to disperse from the tree that they emerge from when the density of health pine trees declines due to pine wilt disease. Both sexes of sexually mature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beetles are attracted to stressed host trees and / or recently cut logs for mating and oviposition which takes place during the night. In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females approach males and after antennal contact the male will attempt to mate.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The following signs and symptoms may be seen in wood infested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(Wilson, 1975):</w:t>
      </w:r>
    </w:p>
    <w:p>
      <w:pPr>
        <w:numPr>
          <w:ilvl w:val="0"/>
          <w:numId w:val="38279175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Slits chewed by adult female for egg laying in the bark, although only a minority of these may have eggs in them</w:t>
      </w:r>
    </w:p>
    <w:p>
      <w:pPr>
        <w:numPr>
          <w:ilvl w:val="0"/>
          <w:numId w:val="38279175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Scoring in the xylem and phloem caused by larval feeding</w:t>
      </w:r>
    </w:p>
    <w:p>
      <w:pPr>
        <w:numPr>
          <w:ilvl w:val="0"/>
          <w:numId w:val="38279175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Frass – the waste expelled by feeding larvae from trees</w:t>
      </w:r>
    </w:p>
    <w:p>
      <w:pPr>
        <w:numPr>
          <w:ilvl w:val="0"/>
          <w:numId w:val="38279175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Oval shaped holes made by larvae as they bore deeper into sap wood</w:t>
      </w:r>
    </w:p>
    <w:p>
      <w:pPr>
        <w:numPr>
          <w:ilvl w:val="0"/>
          <w:numId w:val="382791753"/>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Circular exit holes created by adults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description of juvenile stages below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eggs are white, elongate, cylindrical and slightly flattened, with rounded ends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They are about 3 mm long and 1 mm in diameter.</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young larvae are soft-bodied, elongate, and dirty white in colour, with a light-yellow thorax and an amber brown head. The final instar larvae have 10 abdominal segments, and the length of mature larvae is between 25 and 50 mm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be identified using DNA barcoding, but it has not been validated for all species (EFSA,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pupae resemble the adults with reduced wings, legs, antennae and mouthparts clearly visible. They are about 1.5-3 cm long.</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of </w:t>
      </w:r>
      <w:r>
        <w:rPr>
          <w:rFonts w:ascii="Calibri" w:hAnsi="Calibri" w:eastAsia="Calibri" w:cs="Calibri"/>
          <w:i/>
          <w:iCs/>
          <w:color w:val="000000"/>
          <w:sz w:val="22"/>
          <w:szCs w:val="22"/>
        </w:rPr>
        <w:t xml:space="preserve">M. nitens</w:t>
      </w:r>
      <w:r>
        <w:rPr>
          <w:rFonts w:ascii="Calibri" w:hAnsi="Calibri" w:eastAsia="Calibri" w:cs="Calibri"/>
          <w:color w:val="000000"/>
          <w:sz w:val="22"/>
          <w:szCs w:val="22"/>
        </w:rPr>
        <w:t xml:space="preserve"> were described by Bates (1884) in Latin. There is also a full description of </w:t>
      </w:r>
      <w:r>
        <w:rPr>
          <w:rFonts w:ascii="Calibri" w:hAnsi="Calibri" w:eastAsia="Calibri" w:cs="Calibri"/>
          <w:i/>
          <w:iCs/>
          <w:color w:val="000000"/>
          <w:sz w:val="22"/>
          <w:szCs w:val="22"/>
        </w:rPr>
        <w:t xml:space="preserve">M. nitens</w:t>
      </w:r>
      <w:r>
        <w:rPr>
          <w:rFonts w:ascii="Calibri" w:hAnsi="Calibri" w:eastAsia="Calibri" w:cs="Calibri"/>
          <w:color w:val="000000"/>
          <w:sz w:val="22"/>
          <w:szCs w:val="22"/>
        </w:rPr>
        <w:t xml:space="preserve"> adults translated into English in Cherepanov</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(1990) which is summarized as follows: The adults are characterized by convex lustrous elytra, with a yellow spotlet on the sinciput. The head has compact uneven punctuation and adherent grey or yellowish hairs with a narrow medial longitudinal groove and antennal tubercles. Eyes sharply faceted, deeply incised. Antennae twice as long as body in males and 1.2 times longer than the body in females. Pronotum not longer (male) or shorter (female) than basal width. Pronotal shield posteriorly broadly rounded with dense adherent rusty coloured or grey hairs.  Elytra parallel sided, in anterior third with distinct or faint semicircular depression leaning toward the inner side of humeri by its ends, beyond humeri slightly compressed, apically individually (female) or jointly (male) rounded. Forelegs in males slightly longer than midlegs. Elytra black lustrous. Body length 23-29 mm. </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Morphologically,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is very similar to </w:t>
      </w:r>
      <w:r>
        <w:rPr>
          <w:rFonts w:ascii="Calibri" w:hAnsi="Calibri" w:eastAsia="Calibri" w:cs="Calibri"/>
          <w:i/>
          <w:iCs/>
          <w:color w:val="000000"/>
          <w:sz w:val="22"/>
          <w:szCs w:val="22"/>
        </w:rPr>
        <w:t xml:space="preserve">M. urussovii </w:t>
      </w:r>
      <w:r>
        <w:rPr>
          <w:rFonts w:ascii="Calibri" w:hAnsi="Calibri" w:eastAsia="Calibri" w:cs="Calibri"/>
          <w:color w:val="000000"/>
          <w:sz w:val="22"/>
          <w:szCs w:val="22"/>
        </w:rPr>
        <w:t xml:space="preserve">(Gorring, 2019)</w:t>
      </w:r>
      <w:r>
        <w:rPr>
          <w:rFonts w:ascii="Calibri" w:hAnsi="Calibri" w:eastAsia="Calibri" w:cs="Calibri"/>
          <w:i/>
          <w:iCs/>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for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nitens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but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attracted to weakened, dying or dead host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may allow the detection of oviposition slits in the bark of dead or dying trees, oval-shaped larval entrance holes in the sapwood under the dead bark, or round adult exit holes in the sapwood. Larvae can also be extracted from the bark or sapwood, and adults can be found walking or resting on cut or dead wood during the summer (EFSA, 2018). The most efficient detection method is trapping (see below).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in traps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showing that there are exceptions to the general association between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weakened or dead trees.</w:t>
      </w:r>
    </w:p>
    <w:p>
      <w:pPr>
        <w:widowControl w:val="on"/>
        <w:pBdr/>
        <w:spacing w:before="220" w:after="220" w:line="240" w:lineRule="auto"/>
        <w:ind w:left="0" w:right="0"/>
        <w:jc w:val="both"/>
      </w:pPr>
      <w:r>
        <w:rPr>
          <w:rFonts w:ascii="Calibri" w:hAnsi="Calibri" w:eastAsia="Calibri" w:cs="Calibri"/>
          <w:color w:val="000000"/>
          <w:sz w:val="22"/>
          <w:szCs w:val="22"/>
        </w:rPr>
        <w:t xml:space="preserve">Safranyik and Raske (1970) devised a sequential sampling plan to determine the damage caused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to timber. The plan was based on a study in Alberta in which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logs were sampled for </w:t>
      </w:r>
      <w:r>
        <w:rPr>
          <w:rFonts w:ascii="Calibri" w:hAnsi="Calibri" w:eastAsia="Calibri" w:cs="Calibri"/>
          <w:i/>
          <w:iCs/>
          <w:color w:val="000000"/>
          <w:sz w:val="22"/>
          <w:szCs w:val="22"/>
        </w:rPr>
        <w:t xml:space="preserve">M. scutellatus, M. maculosus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The method involved counting larval entrance holes into the logs any time after September following the summer of attack. At densities of greater than 2.5 holes / ft</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(approx. 30cm x 30cm), there was a 30% loss in value of the timber.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Traps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published data on trapping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but there is data on trapping other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p>
    <w:p>
      <w:pPr>
        <w:widowControl w:val="on"/>
        <w:pBdr/>
        <w:spacing w:before="220" w:after="220" w:line="240" w:lineRule="auto"/>
        <w:ind w:left="0" w:right="0"/>
        <w:jc w:val="both"/>
      </w:pPr>
      <w:r>
        <w:rPr>
          <w:rFonts w:ascii="Calibri" w:hAnsi="Calibri" w:eastAsia="Calibri" w:cs="Calibri"/>
          <w:color w:val="000000"/>
          <w:sz w:val="22"/>
          <w:szCs w:val="22"/>
        </w:rPr>
        <w:t xml:space="preserve">In a large study at 16 sites across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demonstrated that multiple-funnel traps baited with a blend of ipsenol, ipsdienol, ethanol and α-pinene were attractive to the </w:t>
      </w:r>
      <w:r>
        <w:rPr>
          <w:rFonts w:ascii="Calibri" w:hAnsi="Calibri" w:eastAsia="Calibri" w:cs="Calibri"/>
          <w:i/>
          <w:iCs/>
          <w:color w:val="000000"/>
          <w:sz w:val="22"/>
          <w:szCs w:val="22"/>
        </w:rPr>
        <w:t xml:space="preserve">M. titillator / M. carolinensis </w:t>
      </w:r>
      <w:r>
        <w:rPr>
          <w:rFonts w:ascii="Calibri" w:hAnsi="Calibri" w:eastAsia="Calibri" w:cs="Calibri"/>
          <w:color w:val="000000"/>
          <w:sz w:val="22"/>
          <w:szCs w:val="22"/>
        </w:rPr>
        <w:t xml:space="preserve">complex, </w:t>
      </w:r>
      <w:r>
        <w:rPr>
          <w:rFonts w:ascii="Calibri" w:hAnsi="Calibri" w:eastAsia="Calibri" w:cs="Calibri"/>
          <w:i/>
          <w:iCs/>
          <w:color w:val="000000"/>
          <w:sz w:val="22"/>
          <w:szCs w:val="22"/>
        </w:rPr>
        <w:t xml:space="preserve">M. scutellatus, M. clamator, M. obtusus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mutator. </w:t>
      </w:r>
      <w:r>
        <w:rPr>
          <w:rFonts w:ascii="Calibri" w:hAnsi="Calibri" w:eastAsia="Calibri" w:cs="Calibri"/>
          <w:color w:val="000000"/>
          <w:sz w:val="22"/>
          <w:szCs w:val="22"/>
        </w:rPr>
        <w:t xml:space="preserve">This mixture of four compounds, was more effective than unbaited traps or traps with a mixture of ispenol and ipsdienol or traps with a mixture of ethanol and α-pinene. Ethanol is produced by stressed conifer trees and α-pinene is a constituent of the oleoresin of most pine species.  Ispenol and ipsdienol occur naturally in pine forests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provided evidence that monochamol is attractive to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which supported evidence from previous studies (e.g. Fierke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they also provided the first evidence that monochamol is attractive to </w:t>
      </w:r>
      <w:r>
        <w:rPr>
          <w:rFonts w:ascii="Calibri" w:hAnsi="Calibri" w:eastAsia="Calibri" w:cs="Calibri"/>
          <w:i/>
          <w:iCs/>
          <w:color w:val="000000"/>
          <w:sz w:val="22"/>
          <w:szCs w:val="22"/>
        </w:rPr>
        <w:t xml:space="preserve">M. mutator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The studies also demonstrated a synergism between monochamol and host volatiles.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monochamol is attractive to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as well as to traps baited with (2R*,3R*)-2,3-hexanediol plus -pinene (but not to traps baited with (2R*,3R*)-2,3-hexanediol alone). There is evidence showing that monochamol is attractive to 12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and so it has excellent potential for surveys of beetles of the Genus (Ryall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tested the efficacy of different combinations of α-pinene, monochamol and ipsenol for catching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two Canadian provinces and eight states in the USA. The study provided evidence of the beneficial effect of including both monochamol and ipsenol in lures. Monochamol did not increase catches of other Cerambycidae, bark beetles, other weevils or bark beetle predators.</w:t>
      </w:r>
    </w:p>
    <w:p>
      <w:pPr>
        <w:widowControl w:val="on"/>
        <w:pBdr/>
        <w:spacing w:before="220" w:after="220" w:line="240" w:lineRule="auto"/>
        <w:ind w:left="0" w:right="0"/>
        <w:jc w:val="both"/>
      </w:pPr>
      <w:r>
        <w:rPr>
          <w:rFonts w:ascii="Calibri" w:hAnsi="Calibri" w:eastAsia="Calibri" w:cs="Calibri"/>
          <w:color w:val="000000"/>
          <w:sz w:val="22"/>
          <w:szCs w:val="22"/>
        </w:rPr>
        <w:t xml:space="preserve">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tested the efficacy of teflon-coated cross-vane traps with four lures monochamol: 2 mg/day; ipsenol: 2.5 mg/day, 2-methyl-3-buten-1-ol: 10 mg/day; and α-pinene: 500 mg/day. Large numbers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were trapped in North America, while large numbers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were trapped in China. This result demonstrated that such traps could be used for the detection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data on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however,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able to naturally disperse by flight. A number of dispersal studies have been carried out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Monochamus alternatus </w:t>
      </w:r>
      <w:r>
        <w:rPr>
          <w:rFonts w:ascii="Calibri" w:hAnsi="Calibri" w:eastAsia="Calibri" w:cs="Calibri"/>
          <w:color w:val="000000"/>
          <w:sz w:val="22"/>
          <w:szCs w:val="22"/>
        </w:rPr>
        <w:t xml:space="preserve">adults were able to disperse 3.3 km from infested logs to diseased trees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In a mark-recapture experiment in Spain,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flew a maximum of 22.1 km with around 2% of beetles flying further than 3 km (Mas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Pinewood nematode, which is vectored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has been found to be able to spread at a mean rate of 5.3 km per year in Portugal (de la Fuente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6 km / year in Japan (Togashi &amp; Shigesada, 2006) and an estimated 7.5 km / year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However, long distance man assisted spread of pine wood nematode can occur over much larger distances with a mean annual dispersal of 111-339 km estimated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in coniferous wood and coniferous wood packaging material, dunnage, particle wood and waste conifer wood, hitchhiking and in finished wood products (EFSA, 2018, Ostojá-Starzewski, 2014). Between 1998 and 19 June 2018 there were 124 interception records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on wood packaging material in the EU (EFSA, 2018). Between 1984 and 2008, there were 42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USA which were identified to species level: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(17),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(Oliver) (2), </w:t>
      </w:r>
      <w:r>
        <w:rPr>
          <w:rFonts w:ascii="Calibri" w:hAnsi="Calibri" w:eastAsia="Calibri" w:cs="Calibri"/>
          <w:i/>
          <w:iCs/>
          <w:color w:val="000000"/>
          <w:sz w:val="22"/>
          <w:szCs w:val="22"/>
        </w:rPr>
        <w:t xml:space="preserve">M. clamator </w:t>
      </w:r>
      <w:r>
        <w:rPr>
          <w:rFonts w:ascii="Calibri" w:hAnsi="Calibri" w:eastAsia="Calibri" w:cs="Calibri"/>
          <w:color w:val="000000"/>
          <w:sz w:val="22"/>
          <w:szCs w:val="22"/>
        </w:rPr>
        <w:t xml:space="preserve">(Leconte) (1), </w:t>
      </w:r>
      <w:r>
        <w:rPr>
          <w:rFonts w:ascii="Calibri" w:hAnsi="Calibri" w:eastAsia="Calibri" w:cs="Calibri"/>
          <w:i/>
          <w:iCs/>
          <w:color w:val="000000"/>
          <w:sz w:val="22"/>
          <w:szCs w:val="22"/>
        </w:rPr>
        <w:t xml:space="preserve">M. galloprovincialis </w:t>
      </w:r>
      <w:r>
        <w:rPr>
          <w:rFonts w:ascii="Calibri" w:hAnsi="Calibri" w:eastAsia="Calibri" w:cs="Calibri"/>
          <w:color w:val="000000"/>
          <w:sz w:val="22"/>
          <w:szCs w:val="22"/>
        </w:rPr>
        <w:t xml:space="preserve">(Oliver) (5),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(Fabricius) (5),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(Say) (2), </w:t>
      </w:r>
      <w:r>
        <w:rPr>
          <w:rFonts w:ascii="Calibri" w:hAnsi="Calibri" w:eastAsia="Calibri" w:cs="Calibri"/>
          <w:i/>
          <w:iCs/>
          <w:color w:val="000000"/>
          <w:sz w:val="22"/>
          <w:szCs w:val="22"/>
        </w:rPr>
        <w:t xml:space="preserve">M. sutor </w:t>
      </w:r>
      <w:r>
        <w:rPr>
          <w:rFonts w:ascii="Calibri" w:hAnsi="Calibri" w:eastAsia="Calibri" w:cs="Calibri"/>
          <w:color w:val="000000"/>
          <w:sz w:val="22"/>
          <w:szCs w:val="22"/>
        </w:rPr>
        <w:t xml:space="preserve">(Linnaeus) (9) and </w:t>
      </w:r>
      <w:r>
        <w:rPr>
          <w:rFonts w:ascii="Calibri" w:hAnsi="Calibri" w:eastAsia="Calibri" w:cs="Calibri"/>
          <w:i/>
          <w:iCs/>
          <w:color w:val="000000"/>
          <w:sz w:val="22"/>
          <w:szCs w:val="22"/>
        </w:rPr>
        <w:t xml:space="preserve">M. teserula </w:t>
      </w:r>
      <w:r>
        <w:rPr>
          <w:rFonts w:ascii="Calibri" w:hAnsi="Calibri" w:eastAsia="Calibri" w:cs="Calibri"/>
          <w:color w:val="000000"/>
          <w:sz w:val="22"/>
          <w:szCs w:val="22"/>
        </w:rPr>
        <w:t xml:space="preserve">White (1) (Eyre &amp; Haack, 2017). Plants for planting are considered to be an unlikely pathway for the spread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because they tend to attack weakened or dead trees (EFSA 2018).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Apart from M. nitens being recorded in conifer plantations, there is no information on economic impact </w:t>
      </w:r>
      <w:r>
        <w:rPr>
          <w:rFonts w:ascii="Calibri" w:hAnsi="Calibri" w:eastAsia="Calibri" w:cs="Calibri"/>
          <w:color w:val="000000"/>
          <w:sz w:val="22"/>
          <w:szCs w:val="22"/>
        </w:rPr>
        <w:t xml:space="preserve">(Cherepanov</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1990).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insects damage the wood of recently conifers which recently died and conifers that are no longer standing, causing the degradation and loss of structural integrity of the timber. In some areas, they often attack conifers that are killed by bark beetles, fire or weakened by defoliating insects. If logs are stored in the forest or at the sawmill for prolonged periods prior to processing, they can be prone to attack by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w:t>
      </w:r>
    </w:p>
    <w:p>
      <w:pPr>
        <w:widowControl w:val="on"/>
        <w:pBdr/>
        <w:spacing w:before="220" w:after="220" w:line="240" w:lineRule="auto"/>
        <w:ind w:left="0" w:right="0"/>
        <w:jc w:val="both"/>
      </w:pPr>
      <w:r>
        <w:rPr>
          <w:rFonts w:ascii="Calibri" w:hAnsi="Calibri" w:eastAsia="Calibri" w:cs="Calibri"/>
          <w:color w:val="000000"/>
          <w:sz w:val="22"/>
          <w:szCs w:val="22"/>
        </w:rPr>
        <w:t xml:space="preserve">Linit (1988) noted there were no records of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being transmitted by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but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stated that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has been found to be associated with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Subsequently, </w:t>
      </w:r>
      <w:r>
        <w:rPr>
          <w:rFonts w:ascii="Calibri" w:hAnsi="Calibri" w:eastAsia="Calibri" w:cs="Calibri"/>
          <w:i/>
          <w:iCs/>
          <w:color w:val="000000"/>
          <w:sz w:val="22"/>
          <w:szCs w:val="22"/>
        </w:rPr>
        <w:t xml:space="preserve">Bursaphelenchus mucronatus </w:t>
      </w:r>
      <w:r>
        <w:rPr>
          <w:rFonts w:ascii="Calibri" w:hAnsi="Calibri" w:eastAsia="Calibri" w:cs="Calibri"/>
          <w:color w:val="000000"/>
          <w:sz w:val="22"/>
          <w:szCs w:val="22"/>
        </w:rPr>
        <w:t xml:space="preserve">and a </w:t>
      </w:r>
      <w:r>
        <w:rPr>
          <w:rFonts w:ascii="Calibri" w:hAnsi="Calibri" w:eastAsia="Calibri" w:cs="Calibri"/>
          <w:i/>
          <w:iCs/>
          <w:color w:val="000000"/>
          <w:sz w:val="22"/>
          <w:szCs w:val="22"/>
        </w:rPr>
        <w:t xml:space="preserve">Diplogasteroides </w:t>
      </w:r>
      <w:r>
        <w:rPr>
          <w:rFonts w:ascii="Calibri" w:hAnsi="Calibri" w:eastAsia="Calibri" w:cs="Calibri"/>
          <w:color w:val="000000"/>
          <w:sz w:val="22"/>
          <w:szCs w:val="22"/>
        </w:rPr>
        <w:t xml:space="preserve">sp. were isolated from an adult male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that had been feeding on a dead </w:t>
      </w:r>
      <w:r>
        <w:rPr>
          <w:rFonts w:ascii="Calibri" w:hAnsi="Calibri" w:eastAsia="Calibri" w:cs="Calibri"/>
          <w:i/>
          <w:iCs/>
          <w:color w:val="000000"/>
          <w:sz w:val="22"/>
          <w:szCs w:val="22"/>
        </w:rPr>
        <w:t xml:space="preserve">Abies mariesii </w:t>
      </w:r>
      <w:r>
        <w:rPr>
          <w:rFonts w:ascii="Calibri" w:hAnsi="Calibri" w:eastAsia="Calibri" w:cs="Calibri"/>
          <w:color w:val="000000"/>
          <w:sz w:val="22"/>
          <w:szCs w:val="22"/>
        </w:rPr>
        <w:t xml:space="preserve">tree on Mount Fuji, Yamanashi, Japan at an altitude of 1750m (Kanzaki &amp; Akiba, 2014). The authors suggest that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is a potential vector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However, the scarcity of data on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indicates that its economic impact in Japan is marginal in comparison to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which is considered to be the principal vector of pinewood nematode. In Japan,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is the insect most frequently associated with dying pine trees and is always heavily infested with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(Kobayashi et al., 1984)</w:t>
      </w:r>
      <w:r>
        <w:rPr>
          <w:rFonts w:ascii="Calibri" w:hAnsi="Calibri" w:eastAsia="Calibri" w:cs="Calibri"/>
          <w:i/>
          <w:iCs/>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published control measures specifically for </w:t>
      </w:r>
      <w:r>
        <w:rPr>
          <w:rFonts w:ascii="Calibri" w:hAnsi="Calibri" w:eastAsia="Calibri" w:cs="Calibri"/>
          <w:i/>
          <w:iCs/>
          <w:color w:val="000000"/>
          <w:sz w:val="22"/>
          <w:szCs w:val="22"/>
        </w:rPr>
        <w:t xml:space="preserve">M. nitens</w:t>
      </w:r>
      <w:r>
        <w:rPr>
          <w:rFonts w:ascii="Calibri" w:hAnsi="Calibri" w:eastAsia="Calibri" w:cs="Calibri"/>
          <w:color w:val="000000"/>
          <w:sz w:val="22"/>
          <w:szCs w:val="22"/>
        </w:rPr>
        <w:t xml:space="preserve">, however the control mechanisms used for other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likely to be effective. Controlling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help to prevent the spread of pinewood nematode. Immature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can be controlled by cutting, followed by cutting, burning or burying the infested wood or treating the wood with insecticides. In field studies, 100% mortality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larvae has been recorded when infested trees have been chipped to pieces with a maximum size of 80 x 60 x 16 mm (Kamata, 2008). The impact of removing infested trees on the further transmission of pinewood nematode is limited by the difficulty of being able to detect all the infested trees. Surveillance from helicopters can lead to the identification of three times as many symptomatic trees as surveys from the ground. Preventative sprays of insecticides that target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adults can reduce transmission of pinewood nematode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the following methods have been used to reduce damage to felled wood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 transporting wood as soon as possible after felling; ii) placing wood in the shade of other trees; ii) covering wood in a layer of 45 cm of slash iv) stacking wood in standard piles to reduce the area exposed to beetle attacks; v) removing bark from felled wood; vi) immersing logs in water; vii) applying insecticides to exposed wood (Wilson, 1962, Wilson, 1975).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damage can be prevented by not exposing wood during the July-September egg laying period and minimized by processing any infested wood as soon as possible (Gibson, 2010).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Eschen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listed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as species that are likely to become established in EU countries based on similarities in pest assemblages in the area of origin and the EU. This analytical method serves to identify areas which have a similar climate to EU countries and have had trade links.   Although there are no known records of </w:t>
      </w:r>
      <w:r>
        <w:rPr>
          <w:rFonts w:ascii="Calibri" w:hAnsi="Calibri" w:eastAsia="Calibri" w:cs="Calibri"/>
          <w:i/>
          <w:iCs/>
          <w:color w:val="000000"/>
          <w:sz w:val="22"/>
          <w:szCs w:val="22"/>
        </w:rPr>
        <w:t xml:space="preserve">M. nitens</w:t>
      </w:r>
      <w:r>
        <w:rPr>
          <w:rFonts w:ascii="Calibri" w:hAnsi="Calibri" w:eastAsia="Calibri" w:cs="Calibri"/>
          <w:color w:val="000000"/>
          <w:sz w:val="22"/>
          <w:szCs w:val="22"/>
        </w:rPr>
        <w:t xml:space="preserve"> becoming established outside its natural range in Asia, the species should be considered as a phytosanitary risk wherever its host genera are found, because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wood packaging material in Europe have shown there is a viable pathway.</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into Europe could introduce pinewood nematode to new locations and hosts and enhance the rate of spread of the pest. Pinewood nematode has causes severe damage to forests in East Asia and in Europe and the impacts are likely to increase (EFSA,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alternatus </w:t>
      </w:r>
      <w:r>
        <w:rPr>
          <w:rFonts w:ascii="Calibri" w:hAnsi="Calibri" w:eastAsia="Calibri" w:cs="Calibri"/>
          <w:color w:val="000000"/>
          <w:sz w:val="22"/>
          <w:szCs w:val="22"/>
        </w:rPr>
        <w:t xml:space="preserve">is the main vector of pine wood nematode in Japan, but </w:t>
      </w:r>
      <w:r>
        <w:rPr>
          <w:rFonts w:ascii="Calibri" w:hAnsi="Calibri" w:eastAsia="Calibri" w:cs="Calibri"/>
          <w:i/>
          <w:iCs/>
          <w:color w:val="000000"/>
          <w:sz w:val="22"/>
          <w:szCs w:val="22"/>
        </w:rPr>
        <w:t xml:space="preserve">M. nitens </w:t>
      </w:r>
      <w:r>
        <w:rPr>
          <w:rFonts w:ascii="Calibri" w:hAnsi="Calibri" w:eastAsia="Calibri" w:cs="Calibri"/>
          <w:color w:val="000000"/>
          <w:sz w:val="22"/>
          <w:szCs w:val="22"/>
        </w:rPr>
        <w:t xml:space="preserve">is one of a further seven species of Cerambycidae which have been associated with this pest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 has emergency measures to prevent the spread of pinewood nematode within the union (EU, 2012). These measures include demarcating areas, destruction of contaminated material, heat treatment of wood and wood products, hygiene protocols for forestry vehicles and transport conditions for plants, wood and bark (EFSA, 2018). Measures to reduce the risk of wood becoming infested during transit include: not transporting wood through infested areas; not transporting wood during the flight season or covering the wood during transit. Debarking of harvested wood can also reduce risks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Recommended phytosanitary measures to reduce the risk of the introduction and spread of non-European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and pinewood nematode are set out in the EPPO commodity standard for Coniferae, PM 8/2 (3).  For example, there are recommendations by host species to reduce the risk of introducing pine wood nematode or its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vectors on wood, such as pest free areas, treatment of wood and conditions for the transport of the wood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treatment of wood according to ISPM 15 will reduce the risk of the introduction of xylophagous pests such as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pine wood nematode being introduced to previously uninfested areas in wood packaging material, although treatments are not always applied effectively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Togashi K &amp; Linit MJ (2017) Cerambycids as plant disease vectors with special reference to pine wilt. In </w:t>
      </w:r>
      <w:r>
        <w:rPr>
          <w:rFonts w:ascii="Calibri" w:hAnsi="Calibri" w:eastAsia="Calibri" w:cs="Calibri"/>
          <w:i/>
          <w:iCs/>
          <w:color w:val="000000"/>
          <w:sz w:val="22"/>
          <w:szCs w:val="22"/>
        </w:rPr>
        <w:t xml:space="preserve">Cerambycidae of the world</w:t>
      </w:r>
      <w:r>
        <w:rPr>
          <w:rFonts w:ascii="Calibri" w:hAnsi="Calibri" w:eastAsia="Calibri" w:cs="Calibri"/>
          <w:color w:val="000000"/>
          <w:sz w:val="22"/>
          <w:szCs w:val="22"/>
        </w:rPr>
        <w:t xml:space="preserve">, pp. 209-252. CRC Press, Boca Raton, Florida.</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 Bishop C &amp; Burgher-MacLellan K (2019) Incidence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Parasitaphelenchidae) in Nova Scotia, Canada Christmas tree (Pinaceae) plantations.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350-364.</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CK, Sweeney J, Silk P, Hughes C, Webster RP, Stephen F, Maclauchlan L, Bentz B, Drumont A, Zhao B, Berkvens N, Casteels H &amp; Gregoire J-C (2019)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Cherepanov AI (1990)  (1990) </w:t>
      </w:r>
      <w:r>
        <w:rPr>
          <w:rFonts w:ascii="Calibri" w:hAnsi="Calibri" w:eastAsia="Calibri" w:cs="Calibri"/>
          <w:i/>
          <w:iCs/>
          <w:color w:val="000000"/>
          <w:sz w:val="22"/>
          <w:szCs w:val="22"/>
        </w:rPr>
        <w:t xml:space="preserve">Cerambycidae of Northern Asia</w:t>
      </w:r>
      <w:r>
        <w:rPr>
          <w:rFonts w:ascii="Calibri" w:hAnsi="Calibri" w:eastAsia="Calibri" w:cs="Calibri"/>
          <w:color w:val="000000"/>
          <w:sz w:val="22"/>
          <w:szCs w:val="22"/>
        </w:rPr>
        <w:t xml:space="preserve">. Biologicheskiĭ Institute, United States Department of Agriculture. Translated and published under an agreement for the United State Department of Agriculture, Washington, D.C., by Amerind Pub. Co., New Delhi.</w:t>
      </w:r>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2374-2385.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Eschen R, Holmes T, Smith D, Roques A, Santini A &amp; Kenis M (2014) Likelihood of establishment of tree pests and diseases based on their worldwide occurrence as determined by hierarchical cluster analysis.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315</w:t>
      </w:r>
      <w:r>
        <w:rPr>
          <w:rFonts w:ascii="Calibri" w:hAnsi="Calibri" w:eastAsia="Calibri" w:cs="Calibri"/>
          <w:color w:val="000000"/>
          <w:sz w:val="22"/>
          <w:szCs w:val="22"/>
        </w:rPr>
        <w:t xml:space="preserve">, 103-111.</w:t>
      </w:r>
    </w:p>
    <w:p>
      <w:pPr>
        <w:widowControl w:val="on"/>
        <w:pBdr/>
        <w:spacing w:before="220" w:after="220" w:line="240" w:lineRule="auto"/>
        <w:ind w:left="0" w:right="0"/>
        <w:jc w:val="left"/>
      </w:pPr>
      <w:r>
        <w:rPr>
          <w:rFonts w:ascii="Calibri" w:hAnsi="Calibri" w:eastAsia="Calibri" w:cs="Calibri"/>
          <w:color w:val="000000"/>
          <w:sz w:val="22"/>
          <w:szCs w:val="22"/>
        </w:rPr>
        <w:t xml:space="preserve">EU (2012) Commission implementing decision (2012/535/EU) on emergency measures to prevent the spread within the Union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et Buhrer) Nickle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(the pine wood nematode).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266</w:t>
      </w:r>
      <w:r>
        <w:rPr>
          <w:rFonts w:ascii="Calibri" w:hAnsi="Calibri" w:eastAsia="Calibri" w:cs="Calibri"/>
          <w:color w:val="000000"/>
          <w:sz w:val="22"/>
          <w:szCs w:val="22"/>
        </w:rPr>
        <w:t xml:space="preserve">, 42-52.</w:t>
      </w:r>
    </w:p>
    <w:p>
      <w:pPr>
        <w:widowControl w:val="on"/>
        <w:pBdr/>
        <w:spacing w:before="220" w:after="220" w:line="240" w:lineRule="auto"/>
        <w:ind w:left="0" w:right="0"/>
        <w:jc w:val="left"/>
      </w:pPr>
      <w:r>
        <w:rPr>
          <w:rFonts w:ascii="Calibri" w:hAnsi="Calibri" w:eastAsia="Calibri" w:cs="Calibri"/>
          <w:color w:val="000000"/>
          <w:sz w:val="22"/>
          <w:szCs w:val="22"/>
        </w:rPr>
        <w:t xml:space="preserve">Eyre D &amp; Haack RA (2017) Invasive cerambycid pests and biosecurity measures. In </w:t>
      </w:r>
      <w:r>
        <w:rPr>
          <w:rFonts w:ascii="Calibri" w:hAnsi="Calibri" w:eastAsia="Calibri" w:cs="Calibri"/>
          <w:i/>
          <w:iCs/>
          <w:color w:val="000000"/>
          <w:sz w:val="22"/>
          <w:szCs w:val="22"/>
        </w:rPr>
        <w:t xml:space="preserve">Cerambycidae of the world: Biology and management</w:t>
      </w:r>
      <w:r>
        <w:rPr>
          <w:rFonts w:ascii="Calibri" w:hAnsi="Calibri" w:eastAsia="Calibri" w:cs="Calibri"/>
          <w:color w:val="000000"/>
          <w:sz w:val="22"/>
          <w:szCs w:val="22"/>
        </w:rPr>
        <w:t xml:space="preserve">, pp. 563-618.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 USDA Forest Service, 2 pp. Available online: </w:t>
      </w:r>
      <w:hyperlink r:id="rId37976aaf700171ed1" w:history="1">
        <w:r>
          <w:rPr>
            <w:rFonts w:ascii="Calibri" w:hAnsi="Calibri" w:eastAsia="Calibri" w:cs="Calibri"/>
            <w:color w:val="0000CC"/>
            <w:sz w:val="22"/>
            <w:szCs w:val="22"/>
            <w:u w:val="single"/>
          </w:rPr>
          <w:t xml:space="preserve">https://www.fs.usda.gov/Internet/FSE_DOCUMENTS/stelprdb5187547.pdf</w:t>
        </w:r>
      </w:hyperlink>
      <w:r>
        <w:rPr>
          <w:rFonts w:ascii="Calibri" w:hAnsi="Calibri" w:eastAsia="Calibri" w:cs="Calibri"/>
          <w:color w:val="000000"/>
          <w:sz w:val="22"/>
          <w:szCs w:val="22"/>
        </w:rPr>
        <w:t xml:space="preserve">  (last accessed 2022-09).</w:t>
      </w:r>
    </w:p>
    <w:p>
      <w:pPr>
        <w:widowControl w:val="on"/>
        <w:pBdr/>
        <w:spacing w:before="220" w:after="220" w:line="240" w:lineRule="auto"/>
        <w:ind w:left="0" w:right="0"/>
        <w:jc w:val="left"/>
      </w:pPr>
      <w:r>
        <w:rPr>
          <w:rFonts w:ascii="Calibri" w:hAnsi="Calibri" w:eastAsia="Calibri" w:cs="Calibri"/>
          <w:color w:val="000000"/>
          <w:sz w:val="22"/>
          <w:szCs w:val="22"/>
        </w:rPr>
        <w:t xml:space="preserve">Gorring P (2019) Gene to Genus: Systematics and population dynamics in Lamiini beetles (Coleoptera: Cerambycidae) with focus on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Dejean. In </w:t>
      </w:r>
      <w:r>
        <w:rPr>
          <w:rFonts w:ascii="Calibri" w:hAnsi="Calibri" w:eastAsia="Calibri" w:cs="Calibri"/>
          <w:i/>
          <w:iCs/>
          <w:color w:val="000000"/>
          <w:sz w:val="22"/>
          <w:szCs w:val="22"/>
        </w:rPr>
        <w:t xml:space="preserve">Organismic and evolutionary biology</w:t>
      </w:r>
      <w:r>
        <w:rPr>
          <w:rFonts w:ascii="Calibri" w:hAnsi="Calibri" w:eastAsia="Calibri" w:cs="Calibri"/>
          <w:color w:val="000000"/>
          <w:sz w:val="22"/>
          <w:szCs w:val="22"/>
        </w:rPr>
        <w:t xml:space="preserve">. Havard University. Available online: </w:t>
      </w:r>
      <w:hyperlink r:id="rId32456aaf700171f53" w:history="1">
        <w:r>
          <w:rPr>
            <w:rFonts w:ascii="Calibri" w:hAnsi="Calibri" w:eastAsia="Calibri" w:cs="Calibri"/>
            <w:color w:val="0000CC"/>
            <w:sz w:val="22"/>
            <w:szCs w:val="22"/>
            <w:u w:val="single"/>
          </w:rPr>
          <w:t xml:space="preserve">https://dash.harvard.edu/handle/1/42029751</w:t>
        </w:r>
      </w:hyperlink>
      <w:r>
        <w:rPr>
          <w:rFonts w:ascii="Calibri" w:hAnsi="Calibri" w:eastAsia="Calibri" w:cs="Calibri"/>
          <w:color w:val="000000"/>
          <w:sz w:val="22"/>
          <w:szCs w:val="22"/>
        </w:rPr>
        <w:t xml:space="preserve"> (last accessed 2022-09).</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IRD (2021) Base de données Titan sur les Cerambycidés ou Longicornes. </w:t>
      </w:r>
      <w:hyperlink r:id="rId89916aaf700171ff0" w:history="1">
        <w:r>
          <w:rPr>
            <w:rFonts w:ascii="Calibri" w:hAnsi="Calibri" w:eastAsia="Calibri" w:cs="Calibri"/>
            <w:color w:val="0000CC"/>
            <w:sz w:val="22"/>
            <w:szCs w:val="22"/>
            <w:u w:val="single"/>
          </w:rPr>
          <w:t xml:space="preserve">http://titan.gbif.fr/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Kamata N (2008) Integrated Pest Management of Pine Wilt Disease in Japan: Tactics and Strategies. In </w:t>
      </w:r>
      <w:r>
        <w:rPr>
          <w:rFonts w:ascii="Calibri" w:hAnsi="Calibri" w:eastAsia="Calibri" w:cs="Calibri"/>
          <w:i/>
          <w:iCs/>
          <w:color w:val="000000"/>
          <w:sz w:val="22"/>
          <w:szCs w:val="22"/>
        </w:rPr>
        <w:t xml:space="preserve">Pine Wilt Disease</w:t>
      </w:r>
      <w:r>
        <w:rPr>
          <w:rFonts w:ascii="Calibri" w:hAnsi="Calibri" w:eastAsia="Calibri" w:cs="Calibri"/>
          <w:color w:val="000000"/>
          <w:sz w:val="22"/>
          <w:szCs w:val="22"/>
        </w:rPr>
        <w:t xml:space="preserve">, pp. 304-322. Springer Japan, Tokyo.</w:t>
      </w:r>
    </w:p>
    <w:p>
      <w:pPr>
        <w:widowControl w:val="on"/>
        <w:pBdr/>
        <w:spacing w:before="220" w:after="220" w:line="240" w:lineRule="auto"/>
        <w:ind w:left="0" w:right="0"/>
        <w:jc w:val="left"/>
      </w:pPr>
      <w:r>
        <w:rPr>
          <w:rFonts w:ascii="Calibri" w:hAnsi="Calibri" w:eastAsia="Calibri" w:cs="Calibri"/>
          <w:color w:val="000000"/>
          <w:sz w:val="22"/>
          <w:szCs w:val="22"/>
        </w:rPr>
        <w:t xml:space="preserve">Kanzaki N &amp; Akiba M (2014) Isolation of </w:t>
      </w:r>
      <w:r>
        <w:rPr>
          <w:rFonts w:ascii="Calibri" w:hAnsi="Calibri" w:eastAsia="Calibri" w:cs="Calibri"/>
          <w:i/>
          <w:iCs/>
          <w:color w:val="000000"/>
          <w:sz w:val="22"/>
          <w:szCs w:val="22"/>
        </w:rPr>
        <w:t xml:space="preserve">Bursaphelenchus mucronatus kolymensis</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Monochamus nitens</w:t>
      </w:r>
      <w:r>
        <w:rPr>
          <w:rFonts w:ascii="Calibri" w:hAnsi="Calibri" w:eastAsia="Calibri" w:cs="Calibri"/>
          <w:color w:val="000000"/>
          <w:sz w:val="22"/>
          <w:szCs w:val="22"/>
        </w:rPr>
        <w:t xml:space="preserve"> from Japan.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743-745.</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Linit MJ (1988) Nematode-vector relationships in the pine wilt system.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227-235.</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(Olivier 1795).</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Allison JD, Crowe CM, Dickinson DM, Eglitis A, Hofstetter RW, Munson AS, Poland TM, Reid LS, Steed BE &amp; Sweeney JD (2016) Pine sawyers (Coleoptera: Cerambycidae) attracted to α-pinene, monochamol, and ipsenol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1205-1214.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3rd, Munson AS, Poland TM &amp; Raffa KF (2013) Trap lure blend of pine volatiles and bark beetle pheromones for Monochamus 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1684-92.</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(2014) Imported furniture – A pathway for the introduction of plant pests into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Safranyik L &amp; Raske AG (1970) Sequential sampling plan for larvae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in lodgepole pine logs.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1903-1906.</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Shigesada N (2006) Spread of the pinewood nematode vectored by the Japanese pine sawyer: Modeling and analytical approaches.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271-283.</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(1962) Insect damage to field-piled pulpwood in northern Minnesota.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510-516.</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  USDA, Forest Service. Available online: </w:t>
      </w:r>
      <w:hyperlink r:id="rId76536aaf7001724dd" w:history="1">
        <w:r>
          <w:rPr>
            <w:rFonts w:ascii="Calibri" w:hAnsi="Calibri" w:eastAsia="Calibri" w:cs="Calibri"/>
            <w:color w:val="0000CC"/>
            <w:sz w:val="22"/>
            <w:szCs w:val="22"/>
            <w:u w:val="single"/>
          </w:rPr>
          <w:t xml:space="preserve">https://www.fs.usda.gov/Internet/FSE_DOCUMENTS/fsbdev2_043606.pdf</w:t>
        </w:r>
      </w:hyperlink>
      <w:r>
        <w:rPr>
          <w:rFonts w:ascii="Calibri" w:hAnsi="Calibri" w:eastAsia="Calibri" w:cs="Calibri"/>
          <w:color w:val="000000"/>
          <w:sz w:val="22"/>
          <w:szCs w:val="22"/>
        </w:rPr>
        <w:t xml:space="preserve"> (last accessed 2022-09).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Dominic Eyre (Defra,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nitens</w:t>
      </w:r>
      <w:r>
        <w:rPr>
          <w:rFonts w:ascii="Calibri" w:hAnsi="Calibri" w:eastAsia="Calibri" w:cs="Calibri"/>
          <w:color w:val="000000"/>
          <w:sz w:val="22"/>
          <w:szCs w:val="22"/>
        </w:rPr>
        <w:t xml:space="preserve">. EPPO datasheets on pests recommended for regulation. Available online. </w:t>
      </w:r>
      <w:hyperlink r:id="rId87366aaf7001725a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18227826" name="name69386aaf700172ac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2496aaf700172ac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791753">
    <w:multiLevelType w:val="hybridMultilevel"/>
    <w:lvl w:ilvl="0" w:tplc="37276286">
      <w:start w:val="1"/>
      <w:numFmt w:val="decimal"/>
      <w:lvlText w:val="%1."/>
      <w:lvlJc w:val="left"/>
      <w:pPr>
        <w:ind w:left="720" w:hanging="360"/>
      </w:pPr>
    </w:lvl>
    <w:lvl w:ilvl="1" w:tplc="37276286" w:tentative="1">
      <w:start w:val="1"/>
      <w:numFmt w:val="lowerLetter"/>
      <w:lvlText w:val="%2."/>
      <w:lvlJc w:val="left"/>
      <w:pPr>
        <w:ind w:left="1440" w:hanging="360"/>
      </w:pPr>
    </w:lvl>
    <w:lvl w:ilvl="2" w:tplc="37276286" w:tentative="1">
      <w:start w:val="1"/>
      <w:numFmt w:val="lowerRoman"/>
      <w:lvlText w:val="%3."/>
      <w:lvlJc w:val="right"/>
      <w:pPr>
        <w:ind w:left="2160" w:hanging="180"/>
      </w:pPr>
    </w:lvl>
    <w:lvl w:ilvl="3" w:tplc="37276286" w:tentative="1">
      <w:start w:val="1"/>
      <w:numFmt w:val="decimal"/>
      <w:lvlText w:val="%4."/>
      <w:lvlJc w:val="left"/>
      <w:pPr>
        <w:ind w:left="2880" w:hanging="360"/>
      </w:pPr>
    </w:lvl>
    <w:lvl w:ilvl="4" w:tplc="37276286" w:tentative="1">
      <w:start w:val="1"/>
      <w:numFmt w:val="lowerLetter"/>
      <w:lvlText w:val="%5."/>
      <w:lvlJc w:val="left"/>
      <w:pPr>
        <w:ind w:left="3600" w:hanging="360"/>
      </w:pPr>
    </w:lvl>
    <w:lvl w:ilvl="5" w:tplc="37276286" w:tentative="1">
      <w:start w:val="1"/>
      <w:numFmt w:val="lowerRoman"/>
      <w:lvlText w:val="%6."/>
      <w:lvlJc w:val="right"/>
      <w:pPr>
        <w:ind w:left="4320" w:hanging="180"/>
      </w:pPr>
    </w:lvl>
    <w:lvl w:ilvl="6" w:tplc="37276286" w:tentative="1">
      <w:start w:val="1"/>
      <w:numFmt w:val="decimal"/>
      <w:lvlText w:val="%7."/>
      <w:lvlJc w:val="left"/>
      <w:pPr>
        <w:ind w:left="5040" w:hanging="360"/>
      </w:pPr>
    </w:lvl>
    <w:lvl w:ilvl="7" w:tplc="37276286" w:tentative="1">
      <w:start w:val="1"/>
      <w:numFmt w:val="lowerLetter"/>
      <w:lvlText w:val="%8."/>
      <w:lvlJc w:val="left"/>
      <w:pPr>
        <w:ind w:left="5760" w:hanging="360"/>
      </w:pPr>
    </w:lvl>
    <w:lvl w:ilvl="8" w:tplc="37276286" w:tentative="1">
      <w:start w:val="1"/>
      <w:numFmt w:val="lowerRoman"/>
      <w:lvlText w:val="%9."/>
      <w:lvlJc w:val="right"/>
      <w:pPr>
        <w:ind w:left="6480" w:hanging="180"/>
      </w:pPr>
    </w:lvl>
  </w:abstractNum>
  <w:abstractNum w:abstractNumId="27807347">
    <w:multiLevelType w:val="hybridMultilevel"/>
    <w:lvl w:ilvl="0" w:tplc="22743399">
      <w:start w:val="1"/>
      <w:numFmt w:val="decimal"/>
      <w:lvlText w:val="%1."/>
      <w:lvlJc w:val="left"/>
      <w:pPr>
        <w:ind w:left="720" w:hanging="360"/>
      </w:pPr>
    </w:lvl>
    <w:lvl w:ilvl="1" w:tplc="22743399" w:tentative="1">
      <w:start w:val="1"/>
      <w:numFmt w:val="lowerLetter"/>
      <w:lvlText w:val="%2."/>
      <w:lvlJc w:val="left"/>
      <w:pPr>
        <w:ind w:left="1440" w:hanging="360"/>
      </w:pPr>
    </w:lvl>
    <w:lvl w:ilvl="2" w:tplc="22743399" w:tentative="1">
      <w:start w:val="1"/>
      <w:numFmt w:val="lowerRoman"/>
      <w:lvlText w:val="%3."/>
      <w:lvlJc w:val="right"/>
      <w:pPr>
        <w:ind w:left="2160" w:hanging="180"/>
      </w:pPr>
    </w:lvl>
    <w:lvl w:ilvl="3" w:tplc="22743399" w:tentative="1">
      <w:start w:val="1"/>
      <w:numFmt w:val="decimal"/>
      <w:lvlText w:val="%4."/>
      <w:lvlJc w:val="left"/>
      <w:pPr>
        <w:ind w:left="2880" w:hanging="360"/>
      </w:pPr>
    </w:lvl>
    <w:lvl w:ilvl="4" w:tplc="22743399" w:tentative="1">
      <w:start w:val="1"/>
      <w:numFmt w:val="lowerLetter"/>
      <w:lvlText w:val="%5."/>
      <w:lvlJc w:val="left"/>
      <w:pPr>
        <w:ind w:left="3600" w:hanging="360"/>
      </w:pPr>
    </w:lvl>
    <w:lvl w:ilvl="5" w:tplc="22743399" w:tentative="1">
      <w:start w:val="1"/>
      <w:numFmt w:val="lowerRoman"/>
      <w:lvlText w:val="%6."/>
      <w:lvlJc w:val="right"/>
      <w:pPr>
        <w:ind w:left="4320" w:hanging="180"/>
      </w:pPr>
    </w:lvl>
    <w:lvl w:ilvl="6" w:tplc="22743399" w:tentative="1">
      <w:start w:val="1"/>
      <w:numFmt w:val="decimal"/>
      <w:lvlText w:val="%7."/>
      <w:lvlJc w:val="left"/>
      <w:pPr>
        <w:ind w:left="5040" w:hanging="360"/>
      </w:pPr>
    </w:lvl>
    <w:lvl w:ilvl="7" w:tplc="22743399" w:tentative="1">
      <w:start w:val="1"/>
      <w:numFmt w:val="lowerLetter"/>
      <w:lvlText w:val="%8."/>
      <w:lvlJc w:val="left"/>
      <w:pPr>
        <w:ind w:left="5760" w:hanging="360"/>
      </w:pPr>
    </w:lvl>
    <w:lvl w:ilvl="8" w:tplc="22743399" w:tentative="1">
      <w:start w:val="1"/>
      <w:numFmt w:val="lowerRoman"/>
      <w:lvlText w:val="%9."/>
      <w:lvlJc w:val="right"/>
      <w:pPr>
        <w:ind w:left="6480" w:hanging="180"/>
      </w:pPr>
    </w:lvl>
  </w:abstractNum>
  <w:abstractNum w:abstractNumId="27807346">
    <w:multiLevelType w:val="hybridMultilevel"/>
    <w:lvl w:ilvl="0" w:tplc="66293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07346">
    <w:abstractNumId w:val="27807346"/>
  </w:num>
  <w:num w:numId="27807347">
    <w:abstractNumId w:val="27807347"/>
  </w:num>
  <w:num w:numId="382791753">
    <w:abstractNumId w:val="38279175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2239507" Type="http://schemas.microsoft.com/office/2011/relationships/commentsExtended" Target="commentsExtended.xml"/><Relationship Id="rId518819952" Type="http://schemas.microsoft.com/office/2011/relationships/people" Target="people.xml"/><Relationship Id="rId74356aaf70016e798" Type="http://schemas.openxmlformats.org/officeDocument/2006/relationships/hyperlink" Target="https://gd.eppo.int/taxon/MONCNI/" TargetMode="External"/><Relationship Id="rId50996aaf70016e7de" Type="http://schemas.openxmlformats.org/officeDocument/2006/relationships/hyperlink" Target="https://gd.eppo.int/taxon/MONCNI/categorization" TargetMode="External"/><Relationship Id="rId25476aaf70016f253" Type="http://schemas.openxmlformats.org/officeDocument/2006/relationships/hyperlink" Target="https://gd.eppo.int/taxon/MONCNI/photos" TargetMode="External"/><Relationship Id="rId37976aaf700171ed1" Type="http://schemas.openxmlformats.org/officeDocument/2006/relationships/hyperlink" Target="https://www.fs.usda.gov/Internet/FSE_DOCUMENTS/stelprdb5187547.pdf" TargetMode="External"/><Relationship Id="rId32456aaf700171f53" Type="http://schemas.openxmlformats.org/officeDocument/2006/relationships/hyperlink" Target="https://dash.harvard.edu/handle/1/42029751" TargetMode="External"/><Relationship Id="rId89916aaf700171ff0" Type="http://schemas.openxmlformats.org/officeDocument/2006/relationships/hyperlink" Target="http://titan.gbif.fr/" TargetMode="External"/><Relationship Id="rId76536aaf7001724dd" Type="http://schemas.openxmlformats.org/officeDocument/2006/relationships/hyperlink" Target="https://www.fs.usda.gov/Internet/FSE_DOCUMENTS/fsbdev2_043606.pdf" TargetMode="External"/><Relationship Id="rId87366aaf7001725a3" Type="http://schemas.openxmlformats.org/officeDocument/2006/relationships/hyperlink" Target="https://gd.eppo.int" TargetMode="External"/><Relationship Id="rId83956aaf70016f142" Type="http://schemas.openxmlformats.org/officeDocument/2006/relationships/image" Target="media/imgrId83956aaf70016f142.jpg"/><Relationship Id="rId54926aaf700170123" Type="http://schemas.openxmlformats.org/officeDocument/2006/relationships/image" Target="media/imgrId54926aaf700170123.jpg"/><Relationship Id="rId82496aaf700172ac3" Type="http://schemas.openxmlformats.org/officeDocument/2006/relationships/image" Target="media/imgrId82496aaf700172ac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