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nitens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nitens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Bates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hyperlink r:id="rId3687699f3c7ba79b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9916699f3c7ba79f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MONCNI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403771" name="name9891699f3c7ba8044" descr="13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63.jpg"/>
                          <pic:cNvPicPr/>
                        </pic:nvPicPr>
                        <pic:blipFill>
                          <a:blip r:embed="rId2804699f3c7ba8042" cstate="print"/>
                          <a:stretch>
                            <a:fillRect/>
                          </a:stretch>
                        </pic:blipFill>
                        <pic:spPr>
                          <a:xfrm>
                            <a:off x="0" y="0"/>
                            <a:ext cx="2160000" cy="1281600"/>
                          </a:xfrm>
                          <a:prstGeom prst="rect">
                            <a:avLst/>
                          </a:prstGeom>
                          <a:ln w="0">
                            <a:noFill/>
                          </a:ln>
                        </pic:spPr>
                      </pic:pic>
                    </a:graphicData>
                  </a:graphic>
                </wp:inline>
              </w:drawing>
            </w:r>
            <w:hyperlink r:id="rId3978699f3c7ba816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nitens</w:t>
      </w:r>
      <w:r>
        <w:rPr>
          <w:rFonts w:ascii="Calibri" w:hAnsi="Calibri" w:eastAsia="Calibri" w:cs="Calibri"/>
          <w:color w:val="000000"/>
          <w:sz w:val="22"/>
          <w:szCs w:val="22"/>
        </w:rPr>
        <w:t xml:space="preserve"> was originally described from a specimen caught on a felled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sp. in Niojozan, Japan in the middle of August (Bates, 1884). </w:t>
      </w:r>
      <w:r>
        <w:rPr>
          <w:rFonts w:ascii="Calibri" w:hAnsi="Calibri" w:eastAsia="Calibri" w:cs="Calibri"/>
          <w:i/>
          <w:iCs/>
          <w:color w:val="000000"/>
          <w:sz w:val="22"/>
          <w:szCs w:val="22"/>
        </w:rPr>
        <w:t xml:space="preserve">M. griseonotatus </w:t>
      </w:r>
      <w:r>
        <w:rPr>
          <w:rFonts w:ascii="Calibri" w:hAnsi="Calibri" w:eastAsia="Calibri" w:cs="Calibri"/>
          <w:color w:val="000000"/>
          <w:sz w:val="22"/>
          <w:szCs w:val="22"/>
        </w:rPr>
        <w:t xml:space="preserve">is considered to be a synonym of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(IRD, 2021). Genetically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is described as a sister species to </w:t>
      </w:r>
      <w:r>
        <w:rPr>
          <w:rFonts w:ascii="Calibri" w:hAnsi="Calibri" w:eastAsia="Calibri" w:cs="Calibri"/>
          <w:i/>
          <w:iCs/>
          <w:color w:val="000000"/>
          <w:sz w:val="22"/>
          <w:szCs w:val="22"/>
        </w:rPr>
        <w:t xml:space="preserve">M. urussovii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and is believed to have diverged from the Eurasian mainland species </w:t>
      </w:r>
      <w:r>
        <w:rPr>
          <w:rFonts w:ascii="Calibri" w:hAnsi="Calibri" w:eastAsia="Calibri" w:cs="Calibri"/>
          <w:i/>
          <w:iCs/>
          <w:color w:val="000000"/>
          <w:sz w:val="22"/>
          <w:szCs w:val="22"/>
        </w:rPr>
        <w:t xml:space="preserve">M. urussovii </w:t>
      </w:r>
      <w:r>
        <w:rPr>
          <w:rFonts w:ascii="Calibri" w:hAnsi="Calibri" w:eastAsia="Calibri" w:cs="Calibri"/>
          <w:color w:val="000000"/>
          <w:sz w:val="22"/>
          <w:szCs w:val="22"/>
        </w:rPr>
        <w:t xml:space="preserve">species approximately 1.4 million years ago (Gorring,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kaempferi, </w:t>
      </w:r>
      <w:r>
        <w:rPr>
          <w:rFonts w:ascii="Calibri" w:hAnsi="Calibri" w:eastAsia="Calibri" w:cs="Calibri"/>
          <w:color w:val="000000"/>
          <w:sz w:val="22"/>
          <w:szCs w:val="22"/>
        </w:rPr>
        <w:t xml:space="preserve">which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 known host of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an important timber species in Northern and Central Europe. There are important forestry species for the EPPO region among the other known host genera, namely </w:t>
      </w:r>
      <w:r>
        <w:rPr>
          <w:rFonts w:ascii="Calibri" w:hAnsi="Calibri" w:eastAsia="Calibri" w:cs="Calibri"/>
          <w:i/>
          <w:iCs/>
          <w:color w:val="000000"/>
          <w:sz w:val="22"/>
          <w:szCs w:val="22"/>
        </w:rPr>
        <w:t xml:space="preserve">Abies, Picea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Pinus.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mariesii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has been recorded in three countries in the Far East of Asia and is not known to be established as an invasive species elsewhere.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prefers ‘cool areas i.e. high latitudes and is not distributed around the Hachioji (Tokyo) area’ (Kanzaki &amp; Akiba, 2014).</w:t>
      </w:r>
    </w:p>
    <w:p>
      <w:r>
        <w:drawing>
          <wp:inline distT="0" distB="0" distL="0" distR="0">
            <wp:extent cx="6120000" cy="3067200"/>
            <wp:docPr id="6518619" name="name5101699f3c7ba94f2" descr="MONCN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NI_distribution_map.jpg"/>
                    <pic:cNvPicPr/>
                  </pic:nvPicPr>
                  <pic:blipFill>
                    <a:blip r:embed="rId8192699f3c7ba94e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Kyushu, Shikoku),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published data on the biology of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other than the fact that in Japan, adult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fly in July and August (Cherepanov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The following information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or relates to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and is from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Complete development takes from several months to two years and can vary within a species depending on when the eggs were laid, the host and environmental conditions. In Japan,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usually has one generation a year, but in cooler areas, 20-30% of beetles have a two-year lifecycle. Larval development can be stopped at the final larval instar by diapause. In Southern China,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bivoltine. After maturation feeding and mating, female beetles use their mandibles to create oviposition slits in the bark of host trees and lay their eggs in the slits. Egg incubation normally takes six to nine days. Early instar larvae develop in the subcortical zone of host trees. The later instars create galleries in the sapwood and pupate at the upper end of a gallery after sealing the entrance with wood shavings. Adults emerge by chewing a round exit hole in the wood and bark and after emergence feed on fresh bark of host tree twigs during the day. This feeding is necessary for the development of the female reproductive system. Generally maturation feeding occurs for 10-14 days in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The mean longevity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females as 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83 days. The recorded fecundity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ranges from 33 to 581 eggs per female.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are more likely to disperse from the tree that they emerge from when the density of health pine trees declines due to pine wilt disease. Both sexes of sexually mature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beetles are attracted to stressed host trees and / or recently cut logs for mating and oviposition which takes place during the night. In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females approach males and after antennal contact the male will attempt to mate.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229025539"/>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229025539"/>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229025539"/>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229025539"/>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229025539"/>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were described by Bates (1884) in Latin. There is also a full description of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adults translated into English in Cherepanov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which is summarized as follows: The adults are characterized by convex lustrous elytra, with a yellow spotlet on the sinciput. The head has compact uneven punctuation and adherent grey or yellowish hairs with a narrow medial longitudinal groove and antennal tubercles. Eyes sharply faceted, deeply incised. Antennae twice as long as body in males and 1.2 times longer than the body in females. Pronotum not longer (male) or shorter (female) than basal width. Pronotal shield posteriorly broadly rounded with dense adherent rusty coloured or grey hairs.  Elytra parallel sided, in anterior third with distinct or faint semicircular depression leaning toward the inner side of humeri by its ends, beyond humeri slightly compressed, apically individually (female) or jointly (male) rounded. Forelegs in males slightly longer than midlegs. Elytra black lustrous. Body length 23-29 mm. </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Morphologically,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very similar to </w:t>
      </w:r>
      <w:r>
        <w:rPr>
          <w:rFonts w:ascii="Calibri" w:hAnsi="Calibri" w:eastAsia="Calibri" w:cs="Calibri"/>
          <w:i/>
          <w:iCs/>
          <w:color w:val="000000"/>
          <w:sz w:val="22"/>
          <w:szCs w:val="22"/>
        </w:rPr>
        <w:t xml:space="preserve">M. urussovii </w:t>
      </w:r>
      <w:r>
        <w:rPr>
          <w:rFonts w:ascii="Calibri" w:hAnsi="Calibri" w:eastAsia="Calibri" w:cs="Calibri"/>
          <w:color w:val="000000"/>
          <w:sz w:val="22"/>
          <w:szCs w:val="22"/>
        </w:rPr>
        <w:t xml:space="preserve">(Gorring, 2019)</w:t>
      </w:r>
      <w:r>
        <w:rPr>
          <w:rFonts w:ascii="Calibri" w:hAnsi="Calibri" w:eastAsia="Calibri" w:cs="Calibri"/>
          <w:i/>
          <w:i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nitens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data on trapping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but there is data on trapping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mutator. </w:t>
      </w:r>
      <w:r>
        <w:rPr>
          <w:rFonts w:ascii="Calibri" w:hAnsi="Calibri" w:eastAsia="Calibri" w:cs="Calibri"/>
          <w:color w:val="000000"/>
          <w:sz w:val="22"/>
          <w:szCs w:val="22"/>
        </w:rPr>
        <w:t xml:space="preserve">This mixture of four compounds, was more effective than unbaited traps or traps with a mixture of ispenol and ipsdienol or traps with a mixture of ethanol and α-pinene. Ethanol is produced by stressed conifer trees and α-pinene is a constituent of the oleoresin of most pine species.  Ispenol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and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data on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however,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Monochamus alternatus </w:t>
      </w:r>
      <w:r>
        <w:rPr>
          <w:rFonts w:ascii="Calibri" w:hAnsi="Calibri" w:eastAsia="Calibri" w:cs="Calibri"/>
          <w:color w:val="000000"/>
          <w:sz w:val="22"/>
          <w:szCs w:val="22"/>
        </w:rPr>
        <w:t xml:space="preserve">adults were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19 June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(EFSA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Apart from M. nitens being recorded in conifer plantations, there is no information on economic impact </w:t>
      </w:r>
      <w:r>
        <w:rPr>
          <w:rFonts w:ascii="Calibri" w:hAnsi="Calibri" w:eastAsia="Calibri" w:cs="Calibri"/>
          <w:color w:val="000000"/>
          <w:sz w:val="22"/>
          <w:szCs w:val="22"/>
        </w:rPr>
        <w:t xml:space="preserve">(Cherepanov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insects damage the wood of recently conifers which recently died and conifers that are no longer standing, causing the degradation and loss of structural integrity of the timber. In some areas, they often attack conifers that are killed by bark beetles, fire or weakened by defoliating insects. If logs are stored in the forest or at the sawmill for prolonged periods prior to processing, they can be prone to attack by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Linit (1988) noted there were no records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being transmitted by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but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stated that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has been found to be associated with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Subsequently, </w:t>
      </w:r>
      <w:r>
        <w:rPr>
          <w:rFonts w:ascii="Calibri" w:hAnsi="Calibri" w:eastAsia="Calibri" w:cs="Calibri"/>
          <w:i/>
          <w:iCs/>
          <w:color w:val="000000"/>
          <w:sz w:val="22"/>
          <w:szCs w:val="22"/>
        </w:rPr>
        <w:t xml:space="preserve">Bursaphelenchus mucronatus </w:t>
      </w:r>
      <w:r>
        <w:rPr>
          <w:rFonts w:ascii="Calibri" w:hAnsi="Calibri" w:eastAsia="Calibri" w:cs="Calibri"/>
          <w:color w:val="000000"/>
          <w:sz w:val="22"/>
          <w:szCs w:val="22"/>
        </w:rPr>
        <w:t xml:space="preserve">and a </w:t>
      </w:r>
      <w:r>
        <w:rPr>
          <w:rFonts w:ascii="Calibri" w:hAnsi="Calibri" w:eastAsia="Calibri" w:cs="Calibri"/>
          <w:i/>
          <w:iCs/>
          <w:color w:val="000000"/>
          <w:sz w:val="22"/>
          <w:szCs w:val="22"/>
        </w:rPr>
        <w:t xml:space="preserve">Diplogasteroides </w:t>
      </w:r>
      <w:r>
        <w:rPr>
          <w:rFonts w:ascii="Calibri" w:hAnsi="Calibri" w:eastAsia="Calibri" w:cs="Calibri"/>
          <w:color w:val="000000"/>
          <w:sz w:val="22"/>
          <w:szCs w:val="22"/>
        </w:rPr>
        <w:t xml:space="preserve">sp. were isolated from an adult male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that had been feeding on a dead </w:t>
      </w:r>
      <w:r>
        <w:rPr>
          <w:rFonts w:ascii="Calibri" w:hAnsi="Calibri" w:eastAsia="Calibri" w:cs="Calibri"/>
          <w:i/>
          <w:iCs/>
          <w:color w:val="000000"/>
          <w:sz w:val="22"/>
          <w:szCs w:val="22"/>
        </w:rPr>
        <w:t xml:space="preserve">Abies mariesii </w:t>
      </w:r>
      <w:r>
        <w:rPr>
          <w:rFonts w:ascii="Calibri" w:hAnsi="Calibri" w:eastAsia="Calibri" w:cs="Calibri"/>
          <w:color w:val="000000"/>
          <w:sz w:val="22"/>
          <w:szCs w:val="22"/>
        </w:rPr>
        <w:t xml:space="preserve">tree on Mount Fuji, Yamanashi, Japan at an altitude of 1750m (Kanzaki &amp; Akiba, 2014). The authors suggest that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a potential vector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However, the scarcity of data on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indicates that its economic impact in Japan is marginal in comparison to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which is considered to be the principal vector of pinewood nematode. In Japan,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the insect most frequently associated with dying pine trees and is always heavily infested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(Kobayashi et al., 1984)</w:t>
      </w:r>
      <w:r>
        <w:rPr>
          <w:rFonts w:ascii="Calibri" w:hAnsi="Calibri" w:eastAsia="Calibri" w:cs="Calibri"/>
          <w:i/>
          <w:i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published control measures specifically for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however the control mechanisms used for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likely to be effective. Controlling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help to prevent the spread of pinewood nematode. Immature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can be controlled by cutting, followed by cutting, burning or burying the infested wood or treating the wood with insecticides. In field studies, 100% mortality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larvae has been recorded when infested trees have been chipped to pieces with a maximum size of 80 x 60 x 16 mm (Kamata, 2008). The impact of removing infested trees on the further transmission of pinewood nematode is limited by the difficulty of being able to detect all the infested trees. Surveillance from helicopters can lead to the identification of three times as many symptomatic trees as surveys from the ground. Preventative sprays of insecticides that target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adults can reduce transmission of pinewood nematode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following methods have been used to reduce damage to felled wood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Eschen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listed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as species that are likely to become established in EU countries based on similarities in pest assemblages in the area of origin and the EU. This analytical method serves to identify areas which have a similar climate to EU countries and have had trade links.   Although there are no known records of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becoming established outside its natural range in Asia, the species should be considered as a phytosanitary risk wherever its host genera are found, because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wood packaging material in Europe have shown there is a viable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pinewood nematode to new locations and hosts and enhance the rate of spread of the pest. Pinewood nematode has causes severe damage to forests in East Asia and in Europe and the impacts are likely to increase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is the main vector of pine wood nematode in Japan, but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one of a further seven species of Cerambycidae which have been associated with this pest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 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(1990)  (1990) </w:t>
      </w:r>
      <w:r>
        <w:rPr>
          <w:rFonts w:ascii="Calibri" w:hAnsi="Calibri" w:eastAsia="Calibri" w:cs="Calibri"/>
          <w:i/>
          <w:iCs/>
          <w:color w:val="000000"/>
          <w:sz w:val="22"/>
          <w:szCs w:val="22"/>
        </w:rPr>
        <w:t xml:space="preserve">Cerambycidae of Northern Asia</w:t>
      </w:r>
      <w:r>
        <w:rPr>
          <w:rFonts w:ascii="Calibri" w:hAnsi="Calibri" w:eastAsia="Calibri" w:cs="Calibri"/>
          <w:color w:val="000000"/>
          <w:sz w:val="22"/>
          <w:szCs w:val="22"/>
        </w:rPr>
        <w:t xml:space="preserve">. Biologicheskiĭ Institute, United States Department of Agriculture. Translated and published under an agreement for the United State Department of Agriculture, Washington, D.C., by Amerind Pub. Co., New Delhi.</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Eschen R, Holmes T, Smith D, Roques A, Santini A &amp; Kenis M (2014) Likelihood of establishment of tree pests and diseases based on their worldwide occurrence as determined by hierarchical cluster analysis.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315</w:t>
      </w:r>
      <w:r>
        <w:rPr>
          <w:rFonts w:ascii="Calibri" w:hAnsi="Calibri" w:eastAsia="Calibri" w:cs="Calibri"/>
          <w:color w:val="000000"/>
          <w:sz w:val="22"/>
          <w:szCs w:val="22"/>
        </w:rPr>
        <w:t xml:space="preserve">, 103-111.</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(2012/535/EU)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(the pine wood nematode).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266</w:t>
      </w:r>
      <w:r>
        <w:rPr>
          <w:rFonts w:ascii="Calibri" w:hAnsi="Calibri" w:eastAsia="Calibri" w:cs="Calibri"/>
          <w:color w:val="000000"/>
          <w:sz w:val="22"/>
          <w:szCs w:val="22"/>
        </w:rPr>
        <w:t xml:space="preserve">, 42-52.</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USDA Forest Service, 2 pp. Available online: </w:t>
      </w:r>
      <w:hyperlink r:id="rId5637699f3c7bab2b9" w:history="1">
        <w:r>
          <w:rPr>
            <w:rFonts w:ascii="Calibri" w:hAnsi="Calibri" w:eastAsia="Calibri" w:cs="Calibri"/>
            <w:color w:val="0000CC"/>
            <w:sz w:val="22"/>
            <w:szCs w:val="22"/>
            <w:u w:val="single"/>
          </w:rPr>
          <w:t xml:space="preserve">https://www.fs.usda.gov/Internet/FSE_DOCUMENTS/stelprdb5187547.pdf</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Gorring P (2019) Gene to Genus: Systematics and population dynamics in Lamiini beetles (Coleoptera: Cerambycidae) with focus on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Dejean. In </w:t>
      </w:r>
      <w:r>
        <w:rPr>
          <w:rFonts w:ascii="Calibri" w:hAnsi="Calibri" w:eastAsia="Calibri" w:cs="Calibri"/>
          <w:i/>
          <w:iCs/>
          <w:color w:val="000000"/>
          <w:sz w:val="22"/>
          <w:szCs w:val="22"/>
        </w:rPr>
        <w:t xml:space="preserve">Organismic and evolutionary biology</w:t>
      </w:r>
      <w:r>
        <w:rPr>
          <w:rFonts w:ascii="Calibri" w:hAnsi="Calibri" w:eastAsia="Calibri" w:cs="Calibri"/>
          <w:color w:val="000000"/>
          <w:sz w:val="22"/>
          <w:szCs w:val="22"/>
        </w:rPr>
        <w:t xml:space="preserve">. Havard University. Available online: </w:t>
      </w:r>
      <w:hyperlink r:id="rId3460699f3c7bab33c" w:history="1">
        <w:r>
          <w:rPr>
            <w:rFonts w:ascii="Calibri" w:hAnsi="Calibri" w:eastAsia="Calibri" w:cs="Calibri"/>
            <w:color w:val="0000CC"/>
            <w:sz w:val="22"/>
            <w:szCs w:val="22"/>
            <w:u w:val="single"/>
          </w:rPr>
          <w:t xml:space="preserve">https://dash.harvard.edu/handle/1/42029751</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 </w:t>
      </w:r>
      <w:hyperlink r:id="rId3621699f3c7bab3d8" w:history="1">
        <w:r>
          <w:rPr>
            <w:rFonts w:ascii="Calibri" w:hAnsi="Calibri" w:eastAsia="Calibri" w:cs="Calibri"/>
            <w:color w:val="0000CC"/>
            <w:sz w:val="22"/>
            <w:szCs w:val="22"/>
            <w:u w:val="single"/>
          </w:rPr>
          <w:t xml:space="preserve">http://titan.gbif.fr/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Kamata N (2008) Integrated Pest Management of Pine Wilt Disease in Japan: Tactics and Strategies. In </w:t>
      </w:r>
      <w:r>
        <w:rPr>
          <w:rFonts w:ascii="Calibri" w:hAnsi="Calibri" w:eastAsia="Calibri" w:cs="Calibri"/>
          <w:i/>
          <w:iCs/>
          <w:color w:val="000000"/>
          <w:sz w:val="22"/>
          <w:szCs w:val="22"/>
        </w:rPr>
        <w:t xml:space="preserve">Pine Wilt Disease</w:t>
      </w:r>
      <w:r>
        <w:rPr>
          <w:rFonts w:ascii="Calibri" w:hAnsi="Calibri" w:eastAsia="Calibri" w:cs="Calibri"/>
          <w:color w:val="000000"/>
          <w:sz w:val="22"/>
          <w:szCs w:val="22"/>
        </w:rPr>
        <w:t xml:space="preserve">, pp. 304-322. Springer Japan, Tokyo.</w:t>
      </w:r>
    </w:p>
    <w:p>
      <w:pPr>
        <w:widowControl w:val="on"/>
        <w:pBdr/>
        <w:spacing w:before="220" w:after="220" w:line="240" w:lineRule="auto"/>
        <w:ind w:left="0" w:right="0"/>
        <w:jc w:val="left"/>
      </w:pPr>
      <w:r>
        <w:rPr>
          <w:rFonts w:ascii="Calibri" w:hAnsi="Calibri" w:eastAsia="Calibri" w:cs="Calibri"/>
          <w:color w:val="000000"/>
          <w:sz w:val="22"/>
          <w:szCs w:val="22"/>
        </w:rPr>
        <w:t xml:space="preserve">Kanzaki N &amp; Akiba M (2014) Isolation of </w:t>
      </w:r>
      <w:r>
        <w:rPr>
          <w:rFonts w:ascii="Calibri" w:hAnsi="Calibri" w:eastAsia="Calibri" w:cs="Calibri"/>
          <w:i/>
          <w:iCs/>
          <w:color w:val="000000"/>
          <w:sz w:val="22"/>
          <w:szCs w:val="22"/>
        </w:rPr>
        <w:t xml:space="preserve">Bursaphelenchus mucronatus kolymensis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Monochamus nitens</w:t>
      </w:r>
      <w:r>
        <w:rPr>
          <w:rFonts w:ascii="Calibri" w:hAnsi="Calibri" w:eastAsia="Calibri" w:cs="Calibri"/>
          <w:color w:val="000000"/>
          <w:sz w:val="22"/>
          <w:szCs w:val="22"/>
        </w:rPr>
        <w:t xml:space="preserve"> from Japan.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743-745.</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(1988) Nematode-vector relationships in the pine wilt system.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227-235.</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USDA, Forest Service. Available online: </w:t>
      </w:r>
      <w:hyperlink r:id="rId8487699f3c7bab8a5" w:history="1">
        <w:r>
          <w:rPr>
            <w:rFonts w:ascii="Calibri" w:hAnsi="Calibri" w:eastAsia="Calibri" w:cs="Calibri"/>
            <w:color w:val="0000CC"/>
            <w:sz w:val="22"/>
            <w:szCs w:val="22"/>
            <w:u w:val="single"/>
          </w:rPr>
          <w:t xml:space="preserve">https://www.fs.usda.gov/Internet/FSE_DOCUMENTS/fsbdev2_043606.pdf</w:t>
        </w:r>
      </w:hyperlink>
      <w:r>
        <w:rPr>
          <w:rFonts w:ascii="Calibri" w:hAnsi="Calibri" w:eastAsia="Calibri" w:cs="Calibri"/>
          <w:color w:val="000000"/>
          <w:sz w:val="22"/>
          <w:szCs w:val="22"/>
        </w:rPr>
        <w:t xml:space="preserve"> (last accessed 2022-09).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nitens</w:t>
      </w:r>
      <w:r>
        <w:rPr>
          <w:rFonts w:ascii="Calibri" w:hAnsi="Calibri" w:eastAsia="Calibri" w:cs="Calibri"/>
          <w:color w:val="000000"/>
          <w:sz w:val="22"/>
          <w:szCs w:val="22"/>
        </w:rPr>
        <w:t xml:space="preserve">. EPPO datasheets on pests recommended for regulation. Available online. </w:t>
      </w:r>
      <w:hyperlink r:id="rId2113699f3c7bab96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0301172" name="name8350699f3c7babb8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957699f3c7babb8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9025539">
    <w:multiLevelType w:val="hybridMultilevel"/>
    <w:lvl w:ilvl="0" w:tplc="76123981">
      <w:start w:val="1"/>
      <w:numFmt w:val="decimal"/>
      <w:lvlText w:val="%1."/>
      <w:lvlJc w:val="left"/>
      <w:pPr>
        <w:ind w:left="720" w:hanging="360"/>
      </w:pPr>
    </w:lvl>
    <w:lvl w:ilvl="1" w:tplc="76123981" w:tentative="1">
      <w:start w:val="1"/>
      <w:numFmt w:val="lowerLetter"/>
      <w:lvlText w:val="%2."/>
      <w:lvlJc w:val="left"/>
      <w:pPr>
        <w:ind w:left="1440" w:hanging="360"/>
      </w:pPr>
    </w:lvl>
    <w:lvl w:ilvl="2" w:tplc="76123981" w:tentative="1">
      <w:start w:val="1"/>
      <w:numFmt w:val="lowerRoman"/>
      <w:lvlText w:val="%3."/>
      <w:lvlJc w:val="right"/>
      <w:pPr>
        <w:ind w:left="2160" w:hanging="180"/>
      </w:pPr>
    </w:lvl>
    <w:lvl w:ilvl="3" w:tplc="76123981" w:tentative="1">
      <w:start w:val="1"/>
      <w:numFmt w:val="decimal"/>
      <w:lvlText w:val="%4."/>
      <w:lvlJc w:val="left"/>
      <w:pPr>
        <w:ind w:left="2880" w:hanging="360"/>
      </w:pPr>
    </w:lvl>
    <w:lvl w:ilvl="4" w:tplc="76123981" w:tentative="1">
      <w:start w:val="1"/>
      <w:numFmt w:val="lowerLetter"/>
      <w:lvlText w:val="%5."/>
      <w:lvlJc w:val="left"/>
      <w:pPr>
        <w:ind w:left="3600" w:hanging="360"/>
      </w:pPr>
    </w:lvl>
    <w:lvl w:ilvl="5" w:tplc="76123981" w:tentative="1">
      <w:start w:val="1"/>
      <w:numFmt w:val="lowerRoman"/>
      <w:lvlText w:val="%6."/>
      <w:lvlJc w:val="right"/>
      <w:pPr>
        <w:ind w:left="4320" w:hanging="180"/>
      </w:pPr>
    </w:lvl>
    <w:lvl w:ilvl="6" w:tplc="76123981" w:tentative="1">
      <w:start w:val="1"/>
      <w:numFmt w:val="decimal"/>
      <w:lvlText w:val="%7."/>
      <w:lvlJc w:val="left"/>
      <w:pPr>
        <w:ind w:left="5040" w:hanging="360"/>
      </w:pPr>
    </w:lvl>
    <w:lvl w:ilvl="7" w:tplc="76123981" w:tentative="1">
      <w:start w:val="1"/>
      <w:numFmt w:val="lowerLetter"/>
      <w:lvlText w:val="%8."/>
      <w:lvlJc w:val="left"/>
      <w:pPr>
        <w:ind w:left="5760" w:hanging="360"/>
      </w:pPr>
    </w:lvl>
    <w:lvl w:ilvl="8" w:tplc="76123981" w:tentative="1">
      <w:start w:val="1"/>
      <w:numFmt w:val="lowerRoman"/>
      <w:lvlText w:val="%9."/>
      <w:lvlJc w:val="right"/>
      <w:pPr>
        <w:ind w:left="6480" w:hanging="180"/>
      </w:pPr>
    </w:lvl>
  </w:abstractNum>
  <w:abstractNum w:abstractNumId="48498690">
    <w:multiLevelType w:val="hybridMultilevel"/>
    <w:lvl w:ilvl="0" w:tplc="72998660">
      <w:start w:val="1"/>
      <w:numFmt w:val="decimal"/>
      <w:lvlText w:val="%1."/>
      <w:lvlJc w:val="left"/>
      <w:pPr>
        <w:ind w:left="720" w:hanging="360"/>
      </w:pPr>
    </w:lvl>
    <w:lvl w:ilvl="1" w:tplc="72998660" w:tentative="1">
      <w:start w:val="1"/>
      <w:numFmt w:val="lowerLetter"/>
      <w:lvlText w:val="%2."/>
      <w:lvlJc w:val="left"/>
      <w:pPr>
        <w:ind w:left="1440" w:hanging="360"/>
      </w:pPr>
    </w:lvl>
    <w:lvl w:ilvl="2" w:tplc="72998660" w:tentative="1">
      <w:start w:val="1"/>
      <w:numFmt w:val="lowerRoman"/>
      <w:lvlText w:val="%3."/>
      <w:lvlJc w:val="right"/>
      <w:pPr>
        <w:ind w:left="2160" w:hanging="180"/>
      </w:pPr>
    </w:lvl>
    <w:lvl w:ilvl="3" w:tplc="72998660" w:tentative="1">
      <w:start w:val="1"/>
      <w:numFmt w:val="decimal"/>
      <w:lvlText w:val="%4."/>
      <w:lvlJc w:val="left"/>
      <w:pPr>
        <w:ind w:left="2880" w:hanging="360"/>
      </w:pPr>
    </w:lvl>
    <w:lvl w:ilvl="4" w:tplc="72998660" w:tentative="1">
      <w:start w:val="1"/>
      <w:numFmt w:val="lowerLetter"/>
      <w:lvlText w:val="%5."/>
      <w:lvlJc w:val="left"/>
      <w:pPr>
        <w:ind w:left="3600" w:hanging="360"/>
      </w:pPr>
    </w:lvl>
    <w:lvl w:ilvl="5" w:tplc="72998660" w:tentative="1">
      <w:start w:val="1"/>
      <w:numFmt w:val="lowerRoman"/>
      <w:lvlText w:val="%6."/>
      <w:lvlJc w:val="right"/>
      <w:pPr>
        <w:ind w:left="4320" w:hanging="180"/>
      </w:pPr>
    </w:lvl>
    <w:lvl w:ilvl="6" w:tplc="72998660" w:tentative="1">
      <w:start w:val="1"/>
      <w:numFmt w:val="decimal"/>
      <w:lvlText w:val="%7."/>
      <w:lvlJc w:val="left"/>
      <w:pPr>
        <w:ind w:left="5040" w:hanging="360"/>
      </w:pPr>
    </w:lvl>
    <w:lvl w:ilvl="7" w:tplc="72998660" w:tentative="1">
      <w:start w:val="1"/>
      <w:numFmt w:val="lowerLetter"/>
      <w:lvlText w:val="%8."/>
      <w:lvlJc w:val="left"/>
      <w:pPr>
        <w:ind w:left="5760" w:hanging="360"/>
      </w:pPr>
    </w:lvl>
    <w:lvl w:ilvl="8" w:tplc="72998660" w:tentative="1">
      <w:start w:val="1"/>
      <w:numFmt w:val="lowerRoman"/>
      <w:lvlText w:val="%9."/>
      <w:lvlJc w:val="right"/>
      <w:pPr>
        <w:ind w:left="6480" w:hanging="180"/>
      </w:pPr>
    </w:lvl>
  </w:abstractNum>
  <w:abstractNum w:abstractNumId="48498689">
    <w:multiLevelType w:val="hybridMultilevel"/>
    <w:lvl w:ilvl="0" w:tplc="506609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498689">
    <w:abstractNumId w:val="48498689"/>
  </w:num>
  <w:num w:numId="48498690">
    <w:abstractNumId w:val="48498690"/>
  </w:num>
  <w:num w:numId="229025539">
    <w:abstractNumId w:val="22902553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4386203" Type="http://schemas.microsoft.com/office/2011/relationships/commentsExtended" Target="commentsExtended.xml"/><Relationship Id="rId121461014" Type="http://schemas.microsoft.com/office/2011/relationships/people" Target="people.xml"/><Relationship Id="rId3687699f3c7ba79b2" Type="http://schemas.openxmlformats.org/officeDocument/2006/relationships/hyperlink" Target="https://gd.eppo.int/taxon/MONCNI/" TargetMode="External"/><Relationship Id="rId9916699f3c7ba79f8" Type="http://schemas.openxmlformats.org/officeDocument/2006/relationships/hyperlink" Target="https://gd.eppo.int/taxon/MONCNI/categorization" TargetMode="External"/><Relationship Id="rId3978699f3c7ba816b" Type="http://schemas.openxmlformats.org/officeDocument/2006/relationships/hyperlink" Target="https://gd.eppo.int/taxon/MONCNI/photos" TargetMode="External"/><Relationship Id="rId5637699f3c7bab2b9" Type="http://schemas.openxmlformats.org/officeDocument/2006/relationships/hyperlink" Target="https://www.fs.usda.gov/Internet/FSE_DOCUMENTS/stelprdb5187547.pdf" TargetMode="External"/><Relationship Id="rId3460699f3c7bab33c" Type="http://schemas.openxmlformats.org/officeDocument/2006/relationships/hyperlink" Target="https://dash.harvard.edu/handle/1/42029751" TargetMode="External"/><Relationship Id="rId3621699f3c7bab3d8" Type="http://schemas.openxmlformats.org/officeDocument/2006/relationships/hyperlink" Target="http://titan.gbif.fr/" TargetMode="External"/><Relationship Id="rId8487699f3c7bab8a5" Type="http://schemas.openxmlformats.org/officeDocument/2006/relationships/hyperlink" Target="https://www.fs.usda.gov/Internet/FSE_DOCUMENTS/fsbdev2_043606.pdf" TargetMode="External"/><Relationship Id="rId2113699f3c7bab966" Type="http://schemas.openxmlformats.org/officeDocument/2006/relationships/hyperlink" Target="https://gd.eppo.int" TargetMode="External"/><Relationship Id="rId2804699f3c7ba8042" Type="http://schemas.openxmlformats.org/officeDocument/2006/relationships/image" Target="media/imgrId2804699f3c7ba8042.jpg"/><Relationship Id="rId8192699f3c7ba94ef" Type="http://schemas.openxmlformats.org/officeDocument/2006/relationships/image" Target="media/imgrId8192699f3c7ba94ef.jpg"/><Relationship Id="rId9957699f3c7babb89" Type="http://schemas.openxmlformats.org/officeDocument/2006/relationships/image" Target="media/imgrId9957699f3c7babb8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