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marmorator</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marmorator</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Kirby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balsam-fir sawyer</w:t>
            </w:r>
            <w:hyperlink r:id="rId22246aabb65d7897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27586aabb65d789b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MONCMR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marmorator </w:t>
      </w:r>
      <w:r>
        <w:rPr>
          <w:rFonts w:ascii="Calibri" w:hAnsi="Calibri" w:eastAsia="Calibri" w:cs="Calibri"/>
          <w:color w:val="000000"/>
          <w:sz w:val="22"/>
          <w:szCs w:val="22"/>
        </w:rPr>
        <w:t xml:space="preserve">was first described by Kirby from a specimen from 54°N in Canada in 1837. A number of other names were used for the same species in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and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centuries, but the original name is the preferred name.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has a limited host range with only two recorded hosts,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Picea rubens. </w:t>
      </w:r>
      <w:r>
        <w:rPr>
          <w:rFonts w:ascii="Calibri" w:hAnsi="Calibri" w:eastAsia="Calibri" w:cs="Calibri"/>
          <w:color w:val="000000"/>
          <w:sz w:val="22"/>
          <w:szCs w:val="22"/>
        </w:rPr>
        <w:t xml:space="preserve"> Neither species is widely grown in Europe.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set up multiple baited and unbaited traps in mature pine stands at 16 locations across North America.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was the only one of the eight North American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that was not caught, and it is the only one that does not have pine as a known host.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breeds in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(balsam fir) in Eastern Canada and the North-Eastern States of the USA, west to the Great Lakes region and south to North Carolina (Baker, 1972).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is found throughout Eastern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There are no records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becoming established outside of its native range.</w:t>
      </w:r>
    </w:p>
    <w:p>
      <w:r>
        <w:drawing>
          <wp:inline distT="0" distB="0" distL="0" distR="0">
            <wp:extent cx="6120000" cy="3067200"/>
            <wp:docPr id="79621072" name="name93856aabb65d79e5d" descr="MONCM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MR_distribution_map.jpg"/>
                    <pic:cNvPicPr/>
                  </pic:nvPicPr>
                  <pic:blipFill>
                    <a:blip r:embed="rId44046aabb65d79e5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Nova Scotia, Ontario, Québec), United States of America (Connecticut, Delaware, Illinois, Indiana, Maine, Maryland, Massachusetts, Michigan, Minnesota, New Hampshire, New Jersey, New York, North Carolina, Ohio, Pennsylvania, Rhode Island, Tennessee,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larvae tunnel extensively through the wood of moribund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trunks, frequently passing through patches of wood decayed by white rot fungi. The larvae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need enzymes that are produced by fungi in order to digest the cellulose of host trees. Kukor and Martin (1986) found that cellulases from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larvae that were fed on a fungus free diet lacked cellulolytic activity and were unable to digest cellulose, but cellulolytic activity could be restored by feeding the larvae wood permeated by fungi.</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text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the Eastern United States. The larvae are commonly known as ‘sawyers’ because of the loud noise they make while feeding. Freshly cut, felled or dying trees or trees that recently died, are preferred. Recently felled trees are particularly attractive to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(Baker, 1972). Young larvae feed on the inner bark, cambium and outer sapwood, forming shallow excavations called surface galleries and filling them with coarse fibrous borings and frass. As they grow older, they bore deep into the heartwood, and then turn around and bore back towards the surface, thereby forming a characteristic U-shaped tunnel. A pupal cell is formed at the outer end of the tunnel, from which the adult emerges by chewing a hole through the remaining wood and bark. Full-grown larvae are often more than 50mm long (Baker, 1972). After emergence,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adults need to feed on the living bark of young twigs for sexual maturation. This phase is obligatory before oviposition. There is a wide between- and within-species variation in adult longevity, from ca. 1 month to ca. 5 months (EFSA, 2018).  Generally, the life cycle is 2 years although in some years it is only one. Because of the overlapping generations, the adults are found each year and may be more abundant in some years depending on the availability of host material and habitat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freshly cut bolts (sections of a log)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Although</w:t>
      </w:r>
      <w:r>
        <w:rPr>
          <w:rFonts w:ascii="Calibri" w:hAnsi="Calibri" w:eastAsia="Calibri" w:cs="Calibri"/>
          <w:i/>
          <w:iCs/>
          <w:color w:val="000000"/>
          <w:sz w:val="22"/>
          <w:szCs w:val="22"/>
        </w:rPr>
        <w:t xml:space="preserve"> M. marmorator </w:t>
      </w:r>
      <w:r>
        <w:rPr>
          <w:rFonts w:ascii="Calibri" w:hAnsi="Calibri" w:eastAsia="Calibri" w:cs="Calibri"/>
          <w:color w:val="000000"/>
          <w:sz w:val="22"/>
          <w:szCs w:val="22"/>
        </w:rPr>
        <w:t xml:space="preserve">is not known to be a pest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populations could lead to increased populations of other damaging species, and this may also be applicable on the hosts of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is thought to be a vector of pinewood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(Zhang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Dauer larvae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have been found in association with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(Wingfield &amp; Blanchette, 1983).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Christmas tree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plantations in Nova Scotia.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recovered from the three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that were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50384466"/>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50384466"/>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50384466"/>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50384466"/>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50384466"/>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juvenile stages below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 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adults are noted to be dark brown and marbled with irregular bands of white and yellow (Baker, 1972). </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give a description of adult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‘Male: Form moderate sized, tapering posteriorly, integument brownish to fuscous, legs head and pronotum usually dark; pubescence recumbent fulvous and whitish. Head with front shallowly convex, finely shallowly punctate, densely clothed with fulvous recumbent pubescence; genae short, slightly convergent; antennae extending about four segments beyond elytra, basal segments minutely, densely punctate, not aspirate, segments clothed with minute depressed pubescence, segments three to six with apical sensory areas. Pronotum about as long as broad, lateral tubercles prominent, bunt at apices; apical and basal transverse impressions shallow, vaguely rugulose; disk with a median, linear, glabrous callus; punctures sparse, irregular, each bearing an erect dark seta; pubescence irregular, fulvous and recumbent; prosternum rugulose, densely pubescent; meso- and metasterum vaguely punctate, densely, somewhat irregularly pubescent, suberect hairs numerous. Elytra about 2.5 times as long as broad; base behind scutellum rugose, humeri with few small asperites; punctures behind fine, sparse, becoming obsolete toward aper; pubescence consisting of variegated patches of fulvous and whitish recumbent pubescence, nonpubescent areas strongly shining; apices elongate, narrow, sutures vaguely angulate. Scutellum rounded at apex, densely pubescent. Legs densely pubescent. Abdomen minutely punctate, densely, irregularly, pubescent, last sternite rounded at apex. Length 20-24 mm.</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form more robust. Antennae about as long as body, white annulate. Pronotum often broader than long. Abdomen with last sternite truncate at apex, sides tufted. Length 18-29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marmorator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provided evidence that monochamol is a component of the pheromone produced by male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Field data also suggested that it is likely to be a pheromone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marmorator </w:t>
      </w:r>
      <w:r>
        <w:rPr>
          <w:rFonts w:ascii="Calibri" w:hAnsi="Calibri" w:eastAsia="Calibri" w:cs="Calibri"/>
          <w:color w:val="000000"/>
          <w:sz w:val="22"/>
          <w:szCs w:val="22"/>
        </w:rPr>
        <w:t xml:space="preserve">and support for the hypothesis that it is a pheromone for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(synonym = M. mutator).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w:t>
      </w:r>
      <w:r>
        <w:rPr>
          <w:rFonts w:ascii="Calibri" w:hAnsi="Calibri" w:eastAsia="Calibri" w:cs="Calibri"/>
          <w:i/>
          <w:iCs/>
          <w:color w:val="000000"/>
          <w:sz w:val="22"/>
          <w:szCs w:val="22"/>
        </w:rPr>
        <w:t xml:space="preserve">l. </w:t>
      </w:r>
      <w:r>
        <w:rPr>
          <w:rFonts w:ascii="Calibri" w:hAnsi="Calibri" w:eastAsia="Calibri" w:cs="Calibri"/>
          <w:color w:val="000000"/>
          <w:sz w:val="22"/>
          <w:szCs w:val="22"/>
        </w:rPr>
        <w:t xml:space="preserve">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Allison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they also provided the first evidence that monochamol is attractive to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 ipsenol in lures. Monochamol did not increase catches of other Cerambycidae, bark beetles, other weevils or bark beetle predators. 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the pathways for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and so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naturally disperse by flight. A number of dispersal studies have been carried out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adults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human assisted spread of pine wood nematode can occur over much larger distances with amean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their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and weakened trees are unlikely to be traded (EFSA 2018).  However, the trapping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suggests there would be some risk in importing host trees from North America into the EPPO region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information about the specific impacts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Belyea (1952) studied the causes of damage to balsam fir around Lake Nigigon, Ontario, Canada.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scarce in this region during the period of the study and so it was not possible to determine the significance of this species as a pest.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not considered to be plant pests in their own right because they do not tend to attack healthy trees however, they can cause damage to timber and can facilitate the introduction and spread of pine wood nematode in Europe (EFSA,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the export restrictions of forestry products associated with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are also responsible for extensive damage to fire damaged, dying, recently killed, and felled conifers of various species—but especially pines, spruce, true firs, and Douglas-fir. The larvae damage infested trees and logs through a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c.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are no known records of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becoming established outside its natural range in North America, the species should be considered as a phytosanitary risk wherever its host genera (i.e.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are found, because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wood packaging material in Europe have shown there is a viable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such as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into Europe could introduce pine wood nematode to new locations and hosts, and enhance the rate of spread of the pest. Pinewood nematode has caused severe damage to forests in East Asia and in Europe and the impacts are likely to increase (EFSA, 2018).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is thought to be a vector of pine wood nematode (Akbulut &amp; Stamps, 2012) and has been found in association with of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(Wingfield &amp; Blanchette, 1983).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Belyea RM (1952) Death and deterioration of balsam fir weakened by spruce budworm defoliation in Ontario: Part II. An assessment of the role of associated insect species in the death of severely weakened trees.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729-738.</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5, </w:t>
      </w:r>
      <w:r>
        <w:rPr>
          <w:rFonts w:ascii="Calibri" w:hAnsi="Calibri" w:eastAsia="Calibri" w:cs="Calibri"/>
          <w:color w:val="000000"/>
          <w:sz w:val="22"/>
          <w:szCs w:val="22"/>
        </w:rPr>
        <w:t xml:space="preserve">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aggregation pheromone for Monochamus scutellatus scutellatus and an attractant for the congener Monochamus notatus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Forest Health Protection and State Forewsy Organisations, Available online: </w:t>
      </w:r>
      <w:hyperlink r:id="rId81346aabb65d7bea9" w:history="1">
        <w:r>
          <w:rPr>
            <w:rFonts w:ascii="Calibri" w:hAnsi="Calibri" w:eastAsia="Calibri" w:cs="Calibri"/>
            <w:color w:val="0000CC"/>
            <w:sz w:val="22"/>
            <w:szCs w:val="22"/>
            <w:u w:val="single"/>
          </w:rPr>
          <w:t xml:space="preserve">https://www.fs.usda.gov/Internet/FSE_DOCUMENTS/stelprdb5187547.pdf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Kukor JJ &amp; Martin MM (1986) Cellulose digestion in</w:t>
      </w:r>
      <w:r>
        <w:rPr>
          <w:rFonts w:ascii="Calibri" w:hAnsi="Calibri" w:eastAsia="Calibri" w:cs="Calibri"/>
          <w:i/>
          <w:iCs/>
          <w:color w:val="000000"/>
          <w:sz w:val="22"/>
          <w:szCs w:val="22"/>
        </w:rPr>
        <w:t xml:space="preserve"> Monochamus marmorator</w:t>
      </w:r>
      <w:r>
        <w:rPr>
          <w:rFonts w:ascii="Calibri" w:hAnsi="Calibri" w:eastAsia="Calibri" w:cs="Calibri"/>
          <w:color w:val="000000"/>
          <w:sz w:val="22"/>
          <w:szCs w:val="22"/>
        </w:rPr>
        <w:t xml:space="preserve"> Kby (Coleoptera, Cerambycidae) - role of acquired fungal enzymes.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1057-1070.</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Monochamus galloprovincialis (Olivier 1795).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Congress of Foretry, Spain.</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Monochamus in lodgepole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 Dept. of Agriculture, Forest Service, Northern Area State &amp; Private Forestry.</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&amp; Blanchette RA (1983)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Minnesota and Wisconsin - insect associates and transmission studies. </w:t>
      </w:r>
      <w:r>
        <w:rPr>
          <w:rFonts w:ascii="Calibri" w:hAnsi="Calibri" w:eastAsia="Calibri" w:cs="Calibri"/>
          <w:i/>
          <w:iCs/>
          <w:color w:val="000000"/>
          <w:sz w:val="22"/>
          <w:szCs w:val="22"/>
        </w:rPr>
        <w:t xml:space="preserve">Canadian Journal of Forest Research-Revue Canadienne de Recherche Forestière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1068-1076.</w:t>
      </w:r>
    </w:p>
    <w:p>
      <w:pPr>
        <w:widowControl w:val="on"/>
        <w:pBdr/>
        <w:spacing w:before="220" w:after="220" w:line="240" w:lineRule="auto"/>
        <w:ind w:left="0" w:right="0"/>
        <w:jc w:val="left"/>
      </w:pPr>
      <w:r>
        <w:rPr>
          <w:rFonts w:ascii="Calibri" w:hAnsi="Calibri" w:eastAsia="Calibri" w:cs="Calibri"/>
          <w:color w:val="000000"/>
          <w:sz w:val="22"/>
          <w:szCs w:val="22"/>
        </w:rPr>
        <w:t xml:space="preserve">Zhang J-J, Zhang R-Z &amp; Chen J-Y (2007) Species and their dispersal ability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as vectors to transmit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[Abstract only]. </w:t>
      </w:r>
      <w:r>
        <w:rPr>
          <w:rFonts w:ascii="Calibri" w:hAnsi="Calibri" w:eastAsia="Calibri" w:cs="Calibri"/>
          <w:i/>
          <w:iCs/>
          <w:color w:val="000000"/>
          <w:sz w:val="22"/>
          <w:szCs w:val="22"/>
        </w:rPr>
        <w:t xml:space="preserve">Journal of Zhejiang A&amp;F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350.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marmorator</w:t>
      </w:r>
      <w:r>
        <w:rPr>
          <w:rFonts w:ascii="Calibri" w:hAnsi="Calibri" w:eastAsia="Calibri" w:cs="Calibri"/>
          <w:color w:val="000000"/>
          <w:sz w:val="22"/>
          <w:szCs w:val="22"/>
        </w:rPr>
        <w:t xml:space="preserve">. EPPO datasheets on pests recommended for regulation. Available online. </w:t>
      </w:r>
      <w:hyperlink r:id="rId68346aabb65d7c5f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6453521" name="name36216aabb65d7c6c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4236aabb65d7c6c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84466">
    <w:multiLevelType w:val="hybridMultilevel"/>
    <w:lvl w:ilvl="0" w:tplc="59107694">
      <w:start w:val="1"/>
      <w:numFmt w:val="decimal"/>
      <w:lvlText w:val="%1."/>
      <w:lvlJc w:val="left"/>
      <w:pPr>
        <w:ind w:left="720" w:hanging="360"/>
      </w:pPr>
    </w:lvl>
    <w:lvl w:ilvl="1" w:tplc="59107694" w:tentative="1">
      <w:start w:val="1"/>
      <w:numFmt w:val="lowerLetter"/>
      <w:lvlText w:val="%2."/>
      <w:lvlJc w:val="left"/>
      <w:pPr>
        <w:ind w:left="1440" w:hanging="360"/>
      </w:pPr>
    </w:lvl>
    <w:lvl w:ilvl="2" w:tplc="59107694" w:tentative="1">
      <w:start w:val="1"/>
      <w:numFmt w:val="lowerRoman"/>
      <w:lvlText w:val="%3."/>
      <w:lvlJc w:val="right"/>
      <w:pPr>
        <w:ind w:left="2160" w:hanging="180"/>
      </w:pPr>
    </w:lvl>
    <w:lvl w:ilvl="3" w:tplc="59107694" w:tentative="1">
      <w:start w:val="1"/>
      <w:numFmt w:val="decimal"/>
      <w:lvlText w:val="%4."/>
      <w:lvlJc w:val="left"/>
      <w:pPr>
        <w:ind w:left="2880" w:hanging="360"/>
      </w:pPr>
    </w:lvl>
    <w:lvl w:ilvl="4" w:tplc="59107694" w:tentative="1">
      <w:start w:val="1"/>
      <w:numFmt w:val="lowerLetter"/>
      <w:lvlText w:val="%5."/>
      <w:lvlJc w:val="left"/>
      <w:pPr>
        <w:ind w:left="3600" w:hanging="360"/>
      </w:pPr>
    </w:lvl>
    <w:lvl w:ilvl="5" w:tplc="59107694" w:tentative="1">
      <w:start w:val="1"/>
      <w:numFmt w:val="lowerRoman"/>
      <w:lvlText w:val="%6."/>
      <w:lvlJc w:val="right"/>
      <w:pPr>
        <w:ind w:left="4320" w:hanging="180"/>
      </w:pPr>
    </w:lvl>
    <w:lvl w:ilvl="6" w:tplc="59107694" w:tentative="1">
      <w:start w:val="1"/>
      <w:numFmt w:val="decimal"/>
      <w:lvlText w:val="%7."/>
      <w:lvlJc w:val="left"/>
      <w:pPr>
        <w:ind w:left="5040" w:hanging="360"/>
      </w:pPr>
    </w:lvl>
    <w:lvl w:ilvl="7" w:tplc="59107694" w:tentative="1">
      <w:start w:val="1"/>
      <w:numFmt w:val="lowerLetter"/>
      <w:lvlText w:val="%8."/>
      <w:lvlJc w:val="left"/>
      <w:pPr>
        <w:ind w:left="5760" w:hanging="360"/>
      </w:pPr>
    </w:lvl>
    <w:lvl w:ilvl="8" w:tplc="59107694" w:tentative="1">
      <w:start w:val="1"/>
      <w:numFmt w:val="lowerRoman"/>
      <w:lvlText w:val="%9."/>
      <w:lvlJc w:val="right"/>
      <w:pPr>
        <w:ind w:left="6480" w:hanging="180"/>
      </w:pPr>
    </w:lvl>
  </w:abstractNum>
  <w:abstractNum w:abstractNumId="41995874">
    <w:multiLevelType w:val="hybridMultilevel"/>
    <w:lvl w:ilvl="0" w:tplc="83099034">
      <w:start w:val="1"/>
      <w:numFmt w:val="decimal"/>
      <w:lvlText w:val="%1."/>
      <w:lvlJc w:val="left"/>
      <w:pPr>
        <w:ind w:left="720" w:hanging="360"/>
      </w:pPr>
    </w:lvl>
    <w:lvl w:ilvl="1" w:tplc="83099034" w:tentative="1">
      <w:start w:val="1"/>
      <w:numFmt w:val="lowerLetter"/>
      <w:lvlText w:val="%2."/>
      <w:lvlJc w:val="left"/>
      <w:pPr>
        <w:ind w:left="1440" w:hanging="360"/>
      </w:pPr>
    </w:lvl>
    <w:lvl w:ilvl="2" w:tplc="83099034" w:tentative="1">
      <w:start w:val="1"/>
      <w:numFmt w:val="lowerRoman"/>
      <w:lvlText w:val="%3."/>
      <w:lvlJc w:val="right"/>
      <w:pPr>
        <w:ind w:left="2160" w:hanging="180"/>
      </w:pPr>
    </w:lvl>
    <w:lvl w:ilvl="3" w:tplc="83099034" w:tentative="1">
      <w:start w:val="1"/>
      <w:numFmt w:val="decimal"/>
      <w:lvlText w:val="%4."/>
      <w:lvlJc w:val="left"/>
      <w:pPr>
        <w:ind w:left="2880" w:hanging="360"/>
      </w:pPr>
    </w:lvl>
    <w:lvl w:ilvl="4" w:tplc="83099034" w:tentative="1">
      <w:start w:val="1"/>
      <w:numFmt w:val="lowerLetter"/>
      <w:lvlText w:val="%5."/>
      <w:lvlJc w:val="left"/>
      <w:pPr>
        <w:ind w:left="3600" w:hanging="360"/>
      </w:pPr>
    </w:lvl>
    <w:lvl w:ilvl="5" w:tplc="83099034" w:tentative="1">
      <w:start w:val="1"/>
      <w:numFmt w:val="lowerRoman"/>
      <w:lvlText w:val="%6."/>
      <w:lvlJc w:val="right"/>
      <w:pPr>
        <w:ind w:left="4320" w:hanging="180"/>
      </w:pPr>
    </w:lvl>
    <w:lvl w:ilvl="6" w:tplc="83099034" w:tentative="1">
      <w:start w:val="1"/>
      <w:numFmt w:val="decimal"/>
      <w:lvlText w:val="%7."/>
      <w:lvlJc w:val="left"/>
      <w:pPr>
        <w:ind w:left="5040" w:hanging="360"/>
      </w:pPr>
    </w:lvl>
    <w:lvl w:ilvl="7" w:tplc="83099034" w:tentative="1">
      <w:start w:val="1"/>
      <w:numFmt w:val="lowerLetter"/>
      <w:lvlText w:val="%8."/>
      <w:lvlJc w:val="left"/>
      <w:pPr>
        <w:ind w:left="5760" w:hanging="360"/>
      </w:pPr>
    </w:lvl>
    <w:lvl w:ilvl="8" w:tplc="83099034" w:tentative="1">
      <w:start w:val="1"/>
      <w:numFmt w:val="lowerRoman"/>
      <w:lvlText w:val="%9."/>
      <w:lvlJc w:val="right"/>
      <w:pPr>
        <w:ind w:left="6480" w:hanging="180"/>
      </w:pPr>
    </w:lvl>
  </w:abstractNum>
  <w:abstractNum w:abstractNumId="41995873">
    <w:multiLevelType w:val="hybridMultilevel"/>
    <w:lvl w:ilvl="0" w:tplc="24022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95873">
    <w:abstractNumId w:val="41995873"/>
  </w:num>
  <w:num w:numId="41995874">
    <w:abstractNumId w:val="41995874"/>
  </w:num>
  <w:num w:numId="50384466">
    <w:abstractNumId w:val="5038446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9577577" Type="http://schemas.microsoft.com/office/2011/relationships/commentsExtended" Target="commentsExtended.xml"/><Relationship Id="rId923712441" Type="http://schemas.microsoft.com/office/2011/relationships/people" Target="people.xml"/><Relationship Id="rId22246aabb65d7897a" Type="http://schemas.openxmlformats.org/officeDocument/2006/relationships/hyperlink" Target="https://gd.eppo.int/taxon/MONCMR/" TargetMode="External"/><Relationship Id="rId27586aabb65d789be" Type="http://schemas.openxmlformats.org/officeDocument/2006/relationships/hyperlink" Target="https://gd.eppo.int/taxon/MONCMR/categorization" TargetMode="External"/><Relationship Id="rId81346aabb65d7bea9" Type="http://schemas.openxmlformats.org/officeDocument/2006/relationships/hyperlink" Target="https://www.fs.usda.gov/Internet/FSE_DOCUMENTS/stelprdb5187547.pdf" TargetMode="External"/><Relationship Id="rId68346aabb65d7c5f0" Type="http://schemas.openxmlformats.org/officeDocument/2006/relationships/hyperlink" Target="https://gd.eppo.int" TargetMode="External"/><Relationship Id="rId44046aabb65d79e5b" Type="http://schemas.openxmlformats.org/officeDocument/2006/relationships/image" Target="media/imgrId44046aabb65d79e5b.jpg"/><Relationship Id="rId14236aabb65d7c6c5" Type="http://schemas.openxmlformats.org/officeDocument/2006/relationships/image" Target="media/imgrId14236aabb65d7c6c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