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marmorator</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marmorator</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Kirby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balsam-fir sawyer</w:t>
            </w:r>
            <w:hyperlink r:id="rId11116a91077a6087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33236a91077a608c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MONCMR</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marmorator </w:t>
      </w:r>
      <w:r>
        <w:rPr>
          <w:rFonts w:ascii="Calibri" w:hAnsi="Calibri" w:eastAsia="Calibri" w:cs="Calibri"/>
          <w:color w:val="000000"/>
          <w:sz w:val="22"/>
          <w:szCs w:val="22"/>
        </w:rPr>
        <w:t xml:space="preserve">was first described by Kirby from a specimen from 54°N in Canada in 1837. A number of other names were used for the same species in the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and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centuries, but the original name is the preferred name.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has a limited host range with only two recorded hosts,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Picea rubens. </w:t>
      </w:r>
      <w:r>
        <w:rPr>
          <w:rFonts w:ascii="Calibri" w:hAnsi="Calibri" w:eastAsia="Calibri" w:cs="Calibri"/>
          <w:color w:val="000000"/>
          <w:sz w:val="22"/>
          <w:szCs w:val="22"/>
        </w:rPr>
        <w:t xml:space="preserve"> Neither species is widely grown in Europe.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set up multiple baited and unbaited traps in mature pine stands at 16 locations across North America.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was the only one of the eight North American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that was not caught, and it is the only one that does not have pine as a known host.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breeds in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(balsam fir) in Eastern Canada and the North-Eastern States of the USA, west to the Great Lakes region and south to North Carolina (Baker, 1972).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is found throughout Eastern North America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There are no records of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becoming established outside of its native range.</w:t>
      </w:r>
    </w:p>
    <w:p>
      <w:r>
        <w:drawing>
          <wp:inline distT="0" distB="0" distL="0" distR="0">
            <wp:extent cx="6120000" cy="3067200"/>
            <wp:docPr id="50630011" name="name66386a91077a61b65" descr="MONCM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MR_distribution_map.jpg"/>
                    <pic:cNvPicPr/>
                  </pic:nvPicPr>
                  <pic:blipFill>
                    <a:blip r:embed="rId88236a91077a61b6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New Brunswick, Nova Scotia, Ontario, Québec), United States of America (Connecticut, Delaware, Illinois, Indiana, Maine, Maryland, Massachusetts, Michigan, Minnesota, New Hampshire, New Jersey, New York, North Carolina, Ohio, Pennsylvania, Rhode Island, Tennessee,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larvae tunnel extensively through the wood of moribund balsam fir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trunks, frequently passing through patches of wood decayed by white rot fungi. The larvae of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need enzymes that are produced by fungi in order to digest the cellulose of host trees. Kukor and Martin (1986) found that cellulases from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larvae that were fed on a fungus free diet lacked cellulolytic activity and were unable to digest cellulose, but cellulolytic activity could be restored by feeding the larvae wood permeated by fungi.</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text is generic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the Eastern United States. The larvae are commonly known as ‘sawyers’ because of the loud noise they make while feeding. Freshly cut, felled or dying trees or trees that recently died, are preferred. Recently felled trees are particularly attractive to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(Baker, 1972). Young larvae feed on the inner bark, cambium and outer sapwood, forming shallow excavations called surface galleries and filling them with coarse fibrous borings and frass. As they grow older, they bore deep into the heartwood, and then turn around and bore back towards the surface, thereby forming a characteristic U-shaped tunnel. A pupal cell is formed at the outer end of the tunnel, from which the adult emerges by chewing a hole through the remaining wood and bark. Full-grown larvae are often more than 50mm long (Baker, 1972). After emergence,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adults need to feed on the living bark of young twigs for sexual maturation. This phase is obligatory before oviposition. There is a wide between- and within-species variation in adult longevity, from ca. 1 month to ca. 5 months (EFSA, 2018).  Generally, the life cycle is 2 years although in some years it is only one. Because of the overlapping generations, the adults are found each year and may be more abundant in some years depending on the availability of host material and habitat 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Miller (1986) studied the impact of excluding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freshly cut bolts (sections of a log) of </w:t>
      </w:r>
      <w:r>
        <w:rPr>
          <w:rFonts w:ascii="Calibri" w:hAnsi="Calibri" w:eastAsia="Calibri" w:cs="Calibri"/>
          <w:i/>
          <w:iCs/>
          <w:color w:val="000000"/>
          <w:sz w:val="22"/>
          <w:szCs w:val="22"/>
        </w:rPr>
        <w:t xml:space="preserve">Pinus taeda </w:t>
      </w:r>
      <w:r>
        <w:rPr>
          <w:rFonts w:ascii="Calibri" w:hAnsi="Calibri" w:eastAsia="Calibri" w:cs="Calibri"/>
          <w:color w:val="000000"/>
          <w:sz w:val="22"/>
          <w:szCs w:val="22"/>
        </w:rPr>
        <w:t xml:space="preserve">on other insects. The presence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significantly reduced the number of emerging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Platysoma cylindricum </w:t>
      </w:r>
      <w:r>
        <w:rPr>
          <w:rFonts w:ascii="Calibri" w:hAnsi="Calibri" w:eastAsia="Calibri" w:cs="Calibri"/>
          <w:color w:val="000000"/>
          <w:sz w:val="22"/>
          <w:szCs w:val="22"/>
        </w:rPr>
        <w:t xml:space="preserve">(Coleoptera: Histeridae) and </w:t>
      </w:r>
      <w:r>
        <w:rPr>
          <w:rFonts w:ascii="Calibri" w:hAnsi="Calibri" w:eastAsia="Calibri" w:cs="Calibri"/>
          <w:i/>
          <w:iCs/>
          <w:color w:val="000000"/>
          <w:sz w:val="22"/>
          <w:szCs w:val="22"/>
        </w:rPr>
        <w:t xml:space="preserve">Medetera bistriata </w:t>
      </w:r>
      <w:r>
        <w:rPr>
          <w:rFonts w:ascii="Calibri" w:hAnsi="Calibri" w:eastAsia="Calibri" w:cs="Calibri"/>
          <w:color w:val="000000"/>
          <w:sz w:val="22"/>
          <w:szCs w:val="22"/>
        </w:rPr>
        <w:t xml:space="preserve">(Diptera: Dolichopodidae).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Although</w:t>
      </w:r>
      <w:r>
        <w:rPr>
          <w:rFonts w:ascii="Calibri" w:hAnsi="Calibri" w:eastAsia="Calibri" w:cs="Calibri"/>
          <w:i/>
          <w:iCs/>
          <w:color w:val="000000"/>
          <w:sz w:val="22"/>
          <w:szCs w:val="22"/>
        </w:rPr>
        <w:t xml:space="preserve"> M. marmorator </w:t>
      </w:r>
      <w:r>
        <w:rPr>
          <w:rFonts w:ascii="Calibri" w:hAnsi="Calibri" w:eastAsia="Calibri" w:cs="Calibri"/>
          <w:color w:val="000000"/>
          <w:sz w:val="22"/>
          <w:szCs w:val="22"/>
        </w:rPr>
        <w:t xml:space="preserve">is not known to be a pest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of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this demonstrates that reducing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populations could lead to increased populations of other damaging species, and this may also be applicable on the hosts of </w:t>
      </w: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is thought to be a vector of pinewood nematode,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(Zhang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Dauer larvae of pine 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have been found in association with of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in Minnesota (Wingfield &amp; Blanchette, 1983).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collected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Christmas tree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plantations in Nova Scotia.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was recovered from the three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that were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signs and symptoms may be seen in wood infested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(Wilson, 1975):</w:t>
      </w:r>
    </w:p>
    <w:p>
      <w:pPr>
        <w:numPr>
          <w:ilvl w:val="0"/>
          <w:numId w:val="33453579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Slits chewed by adult female for egg laying in the bark, although only a minority of these may have eggs in them</w:t>
      </w:r>
    </w:p>
    <w:p>
      <w:pPr>
        <w:numPr>
          <w:ilvl w:val="0"/>
          <w:numId w:val="33453579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Scoring in the xylem and phloem caused by larval feeding</w:t>
      </w:r>
    </w:p>
    <w:p>
      <w:pPr>
        <w:numPr>
          <w:ilvl w:val="0"/>
          <w:numId w:val="33453579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Frass – the waste expelled by feeding larvae from trees</w:t>
      </w:r>
    </w:p>
    <w:p>
      <w:pPr>
        <w:numPr>
          <w:ilvl w:val="0"/>
          <w:numId w:val="33453579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Oval shaped holes made by larvae as they bore deeper into sap wood</w:t>
      </w:r>
    </w:p>
    <w:p>
      <w:pPr>
        <w:numPr>
          <w:ilvl w:val="0"/>
          <w:numId w:val="33453579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Circular exit holes created by adults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description of juvenile stages below is generic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eggs are white, elongate, cylindrical and slightly flattened, with rounded ends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They are about 3 mm long and 1 mm in diameter.</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young larvae are soft-bodied, elongate, and dirty white in colour, with a light yellow thorax and an amber brown head. The final instar larvae have 10 abdominal segments, and the length of mature larvae is between 25 and 50 mm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can be identified using DNA barcoding, but it has not been validated for all species (EFSA, 2018).</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pupae resemble the adults with reduced wings, legs, antennae and mouthparts clearly visible. They are about 1.5-3 cm long.</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 adults are noted to be dark brown and marbled with irregular bands of white and yellow (Baker, 1972). </w:t>
      </w:r>
    </w:p>
    <w:p>
      <w:pPr>
        <w:widowControl w:val="on"/>
        <w:pBdr/>
        <w:spacing w:before="220" w:after="220" w:line="240" w:lineRule="auto"/>
        <w:ind w:left="0" w:right="0"/>
        <w:jc w:val="both"/>
      </w:pPr>
      <w:r>
        <w:rPr>
          <w:rFonts w:ascii="Calibri" w:hAnsi="Calibri" w:eastAsia="Calibri" w:cs="Calibri"/>
          <w:color w:val="000000"/>
          <w:sz w:val="22"/>
          <w:szCs w:val="22"/>
        </w:rPr>
        <w:t xml:space="preserve">Linsley and Chemsak (1984) give a description of adult </w:t>
      </w: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‘Male: Form moderate sized, tapering posteriorly, integument brownish to fuscous, legs head and pronotum usually dark; pubescence recumbent fulvous and whitish. Head with front shallowly convex, finely shallowly punctate, densely clothed with fulvous recumbent pubescence; genae short, slightly convergent; antennae extending about four segments beyond elytra, basal segments minutely, densely punctate, not aspirate, segments clothed with minute depressed pubescence, segments three to six with apical sensory areas. Pronotum about as long as broad, lateral tubercles prominent, bunt at apices; apical and basal transverse impressions shallow, vaguely rugulose; disk with a median, linear, glabrous callus; punctures sparse, irregular, each bearing an erect dark seta; pubescence irregular, fulvous and recumbent; prosternum rugulose, densely pubescent; meso- and metasterum vaguely punctate, densely, somewhat irregularly pubescent, suberect hairs numerous. Elytra about 2.5 times as long as broad; base behind scutellum rugose, humeri with few small asperites; punctures behind fine, sparse, becoming obsolete toward aper; pubescence consisting of variegated patches of fulvous and whitish recumbent pubescence, nonpubescent areas strongly shining; apices elongate, narrow, sutures vaguely angulate. Scutellum rounded at apex, densely pubescent. Legs densely pubescent. Abdomen minutely punctate, densely, irregularly, pubescent, last sternite rounded at apex. Length 20-24 mm.</w:t>
      </w:r>
    </w:p>
    <w:p>
      <w:pPr>
        <w:widowControl w:val="on"/>
        <w:pBdr/>
        <w:spacing w:before="220" w:after="220" w:line="240" w:lineRule="auto"/>
        <w:ind w:left="0" w:right="0"/>
        <w:jc w:val="both"/>
      </w:pPr>
      <w:r>
        <w:rPr>
          <w:rFonts w:ascii="Calibri" w:hAnsi="Calibri" w:eastAsia="Calibri" w:cs="Calibri"/>
          <w:color w:val="000000"/>
          <w:sz w:val="22"/>
          <w:szCs w:val="22"/>
        </w:rPr>
        <w:t xml:space="preserve">Female: form more robust. Antennae about as long as body, white annulate. Pronotum often broader than long. Abdomen with last sternite truncate at apex, sides tufted. Length 18-29 mm.’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for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marmorator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but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are attracted to weakened, dying or dead host trees. Therefore, such trees, which often have partly or completely discoloured needles, should be the focus of surveillance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Close inspection may allow the detection of oviposition slits in the bark of dead or dying trees, oval-shaped larval entrance holes in the sapwood under the dead bark, or round adult exit holes in the sapwood. Larvae can also be extracted from the bark or sapwood, and adults can be found walking or resting on cut or dead wood during the summer (EFSA, 2018). The most efficient detection method is trapping (see below).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in traps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showing that there are exceptions to the general association between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weakened or dead trees.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Traps</w:t>
      </w:r>
    </w:p>
    <w:p>
      <w:pPr>
        <w:widowControl w:val="on"/>
        <w:pBdr/>
        <w:spacing w:before="220" w:after="220" w:line="240" w:lineRule="auto"/>
        <w:ind w:left="0" w:right="0"/>
        <w:jc w:val="both"/>
      </w:pPr>
      <w:r>
        <w:rPr>
          <w:rFonts w:ascii="Calibri" w:hAnsi="Calibri" w:eastAsia="Calibri" w:cs="Calibri"/>
          <w:color w:val="000000"/>
          <w:sz w:val="22"/>
          <w:szCs w:val="22"/>
        </w:rPr>
        <w:t xml:space="preserve">In a field and laboratory study, Fierke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provided evidence that monochamol is a component of the pheromone produced by male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Field data also suggested that it is likely to be a pheromone for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marmorator </w:t>
      </w:r>
      <w:r>
        <w:rPr>
          <w:rFonts w:ascii="Calibri" w:hAnsi="Calibri" w:eastAsia="Calibri" w:cs="Calibri"/>
          <w:color w:val="000000"/>
          <w:sz w:val="22"/>
          <w:szCs w:val="22"/>
        </w:rPr>
        <w:t xml:space="preserve">and support for the hypothesis that it is a pheromone for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a large study at 16 sites across North America,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demonstrated that multiple-funnel traps baited with a blend of ipsenol, ipsdienol, ethanol and α-pinene were attractive to the </w:t>
      </w:r>
      <w:r>
        <w:rPr>
          <w:rFonts w:ascii="Calibri" w:hAnsi="Calibri" w:eastAsia="Calibri" w:cs="Calibri"/>
          <w:i/>
          <w:iCs/>
          <w:color w:val="000000"/>
          <w:sz w:val="22"/>
          <w:szCs w:val="22"/>
        </w:rPr>
        <w:t xml:space="preserve">M. titillator / M. carolinensis </w:t>
      </w:r>
      <w:r>
        <w:rPr>
          <w:rFonts w:ascii="Calibri" w:hAnsi="Calibri" w:eastAsia="Calibri" w:cs="Calibri"/>
          <w:color w:val="000000"/>
          <w:sz w:val="22"/>
          <w:szCs w:val="22"/>
        </w:rPr>
        <w:t xml:space="preserve">complex, </w:t>
      </w:r>
      <w:r>
        <w:rPr>
          <w:rFonts w:ascii="Calibri" w:hAnsi="Calibri" w:eastAsia="Calibri" w:cs="Calibri"/>
          <w:i/>
          <w:iCs/>
          <w:color w:val="000000"/>
          <w:sz w:val="22"/>
          <w:szCs w:val="22"/>
        </w:rPr>
        <w:t xml:space="preserve">M. scutellatus, M. clamator, M. obtusus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maculosus (synonym = M. mutator). </w:t>
      </w:r>
      <w:r>
        <w:rPr>
          <w:rFonts w:ascii="Calibri" w:hAnsi="Calibri" w:eastAsia="Calibri" w:cs="Calibri"/>
          <w:color w:val="000000"/>
          <w:sz w:val="22"/>
          <w:szCs w:val="22"/>
        </w:rPr>
        <w:t xml:space="preserve">This mixture of four compounds, was more effective than unbaited traps or traps with a mixture of ipsenol and ipsdienol or traps with a mixture of ethanol and α-pinene. Ethanol is produced by stressed conifer trees and α-pinene is a constituent of the oleoresin of most pine species.  Ipsenol and ipsdienol occur naturally in pine forests (Miller </w:t>
      </w:r>
      <w:r>
        <w:rPr>
          <w:rFonts w:ascii="Calibri" w:hAnsi="Calibri" w:eastAsia="Calibri" w:cs="Calibri"/>
          <w:i/>
          <w:iCs/>
          <w:color w:val="000000"/>
          <w:sz w:val="22"/>
          <w:szCs w:val="22"/>
        </w:rPr>
        <w:t xml:space="preserve">et a</w:t>
      </w:r>
      <w:r>
        <w:rPr>
          <w:rFonts w:ascii="Calibri" w:hAnsi="Calibri" w:eastAsia="Calibri" w:cs="Calibri"/>
          <w:i/>
          <w:iCs/>
          <w:color w:val="000000"/>
          <w:sz w:val="22"/>
          <w:szCs w:val="22"/>
        </w:rPr>
        <w:t xml:space="preserve">l. </w:t>
      </w:r>
      <w:r>
        <w:rPr>
          <w:rFonts w:ascii="Calibri" w:hAnsi="Calibri" w:eastAsia="Calibri" w:cs="Calibri"/>
          <w:color w:val="000000"/>
          <w:sz w:val="22"/>
          <w:szCs w:val="22"/>
        </w:rPr>
        <w:t xml:space="preserve">2013).</w:t>
      </w:r>
    </w:p>
    <w:p>
      <w:pPr>
        <w:widowControl w:val="on"/>
        <w:pBdr/>
        <w:spacing w:before="220" w:after="220" w:line="240" w:lineRule="auto"/>
        <w:ind w:left="0" w:right="0"/>
        <w:jc w:val="both"/>
      </w:pPr>
      <w:r>
        <w:rPr>
          <w:rFonts w:ascii="Calibri" w:hAnsi="Calibri" w:eastAsia="Calibri" w:cs="Calibri"/>
          <w:color w:val="000000"/>
          <w:sz w:val="22"/>
          <w:szCs w:val="22"/>
        </w:rPr>
        <w:t xml:space="preserve">Ryall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(2015) provided evidence that monochamol is attractive to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 M. carolinensis</w:t>
      </w:r>
      <w:r>
        <w:rPr>
          <w:rFonts w:ascii="Calibri" w:hAnsi="Calibri" w:eastAsia="Calibri" w:cs="Calibri"/>
          <w:color w:val="000000"/>
          <w:sz w:val="22"/>
          <w:szCs w:val="22"/>
        </w:rPr>
        <w:t xml:space="preserve"> which supported evidence from previous studies (e.g. Fierke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Allison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they also provided the first evidence that monochamol is attractive to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 The studies also demonstrated a synergism between monochamol and host volatiles.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showed that monochamol is attractive to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as well as to traps baited with (2R*,3R*)-2,3-hexanediol plus -pinene (but not to traps baited with (2R*,3R*)-2,3-hexanediol alone). There is evidence showing that monochamol is attractive to 12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and so it has excellent potential for surveys of beetles of the genus (Ryall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tested the efficacy of different combinations of α-pinene, monochamol and ipsenol for catching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two Canadian provinces and eight states in the USA. The study provided evidence of the beneficial effect of including both monochamol an ipsenol in lures. Monochamol did not increase catches of other Cerambycidae, bark beetles, other weevils or bark beetle predators. 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tested the efficacy of teflon-coated cross-vane traps with four lures monochamol: 2 mg/day; ipsenol: 2.5 mg/day, 2-methyl-3-buten-1-ol: 10 mg/day; and α-pinene: 500 mg/day. Large numbers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were trapped in North America, while large numbers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were trapped in China. This result demonstrated that such traps could be used for the detection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on the pathways for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and so the following information is generic to the genus.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naturally disperse by flight. A number of dispersal studies have been carried out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For example, </w:t>
      </w:r>
      <w:r>
        <w:rPr>
          <w:rFonts w:ascii="Calibri" w:hAnsi="Calibri" w:eastAsia="Calibri" w:cs="Calibri"/>
          <w:i/>
          <w:iCs/>
          <w:color w:val="000000"/>
          <w:sz w:val="22"/>
          <w:szCs w:val="22"/>
        </w:rPr>
        <w:t xml:space="preserve">Monochamus alternatus </w:t>
      </w:r>
      <w:r>
        <w:rPr>
          <w:rFonts w:ascii="Calibri" w:hAnsi="Calibri" w:eastAsia="Calibri" w:cs="Calibri"/>
          <w:color w:val="000000"/>
          <w:sz w:val="22"/>
          <w:szCs w:val="22"/>
        </w:rPr>
        <w:t xml:space="preserve">adults were shown to be able to disperse 3.3 km from infested logs to diseased trees (Kobayashi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 In a mark-recapture experiment in Spain, </w:t>
      </w:r>
      <w:r>
        <w:rPr>
          <w:rFonts w:ascii="Calibri" w:hAnsi="Calibri" w:eastAsia="Calibri" w:cs="Calibri"/>
          <w:i/>
          <w:iCs/>
          <w:color w:val="000000"/>
          <w:sz w:val="22"/>
          <w:szCs w:val="22"/>
        </w:rPr>
        <w:t xml:space="preserve">Monochamus galloprovincialis </w:t>
      </w:r>
      <w:r>
        <w:rPr>
          <w:rFonts w:ascii="Calibri" w:hAnsi="Calibri" w:eastAsia="Calibri" w:cs="Calibri"/>
          <w:color w:val="000000"/>
          <w:sz w:val="22"/>
          <w:szCs w:val="22"/>
        </w:rPr>
        <w:t xml:space="preserve">(Olivier) flew a maximum of 22.1 km with around 2% of beetles flying further than 3 km (Mas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Pinewood nematode, which is vectored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has been found to be able to spread at a mean rate of 5.3 km per year in Portugal (de la Fuente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6 km / year in Japan (Togashi &amp; Shigesada, 2006) and an estimated 7.5 km / year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However, long distance human assisted spread of pine wood nematode can occur over much larger distances with amean annual dispersal of 111-339 km estimated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be spread in coniferous wood and coniferous wood packaging material, dunnage, particle wood and waste conifer wood, hitchhiking and in finished wood products (EFSA, 2018, Ostojá-Starzewski, 2014). Between 1998 and 2018 there were 124 interception records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on wood packaging material in the EU (EFSA, 2018). Between 1984 and 2008, there were 42 interceptions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on wood packaging material in the USA which were identified to species level: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(17),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(Oliver) (2), </w:t>
      </w:r>
      <w:r>
        <w:rPr>
          <w:rFonts w:ascii="Calibri" w:hAnsi="Calibri" w:eastAsia="Calibri" w:cs="Calibri"/>
          <w:i/>
          <w:iCs/>
          <w:color w:val="000000"/>
          <w:sz w:val="22"/>
          <w:szCs w:val="22"/>
        </w:rPr>
        <w:t xml:space="preserve">M. clamator </w:t>
      </w:r>
      <w:r>
        <w:rPr>
          <w:rFonts w:ascii="Calibri" w:hAnsi="Calibri" w:eastAsia="Calibri" w:cs="Calibri"/>
          <w:color w:val="000000"/>
          <w:sz w:val="22"/>
          <w:szCs w:val="22"/>
        </w:rPr>
        <w:t xml:space="preserve">(Leconte) (1), </w:t>
      </w:r>
      <w:r>
        <w:rPr>
          <w:rFonts w:ascii="Calibri" w:hAnsi="Calibri" w:eastAsia="Calibri" w:cs="Calibri"/>
          <w:i/>
          <w:iCs/>
          <w:color w:val="000000"/>
          <w:sz w:val="22"/>
          <w:szCs w:val="22"/>
        </w:rPr>
        <w:t xml:space="preserve">M. galloprovincialis </w:t>
      </w:r>
      <w:r>
        <w:rPr>
          <w:rFonts w:ascii="Calibri" w:hAnsi="Calibri" w:eastAsia="Calibri" w:cs="Calibri"/>
          <w:color w:val="000000"/>
          <w:sz w:val="22"/>
          <w:szCs w:val="22"/>
        </w:rPr>
        <w:t xml:space="preserve">(Oliver) (5), </w:t>
      </w:r>
      <w:r>
        <w:rPr>
          <w:rFonts w:ascii="Calibri" w:hAnsi="Calibri" w:eastAsia="Calibri" w:cs="Calibri"/>
          <w:i/>
          <w:iCs/>
          <w:color w:val="000000"/>
          <w:sz w:val="22"/>
          <w:szCs w:val="22"/>
        </w:rPr>
        <w:t xml:space="preserve">M. sartor </w:t>
      </w:r>
      <w:r>
        <w:rPr>
          <w:rFonts w:ascii="Calibri" w:hAnsi="Calibri" w:eastAsia="Calibri" w:cs="Calibri"/>
          <w:color w:val="000000"/>
          <w:sz w:val="22"/>
          <w:szCs w:val="22"/>
        </w:rPr>
        <w:t xml:space="preserve">(Fabricius) (5),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(Say) (2), </w:t>
      </w:r>
      <w:r>
        <w:rPr>
          <w:rFonts w:ascii="Calibri" w:hAnsi="Calibri" w:eastAsia="Calibri" w:cs="Calibri"/>
          <w:i/>
          <w:iCs/>
          <w:color w:val="000000"/>
          <w:sz w:val="22"/>
          <w:szCs w:val="22"/>
        </w:rPr>
        <w:t xml:space="preserve">M. sutor </w:t>
      </w:r>
      <w:r>
        <w:rPr>
          <w:rFonts w:ascii="Calibri" w:hAnsi="Calibri" w:eastAsia="Calibri" w:cs="Calibri"/>
          <w:color w:val="000000"/>
          <w:sz w:val="22"/>
          <w:szCs w:val="22"/>
        </w:rPr>
        <w:t xml:space="preserve">(Linnaeus) (9) and </w:t>
      </w:r>
      <w:r>
        <w:rPr>
          <w:rFonts w:ascii="Calibri" w:hAnsi="Calibri" w:eastAsia="Calibri" w:cs="Calibri"/>
          <w:i/>
          <w:iCs/>
          <w:color w:val="000000"/>
          <w:sz w:val="22"/>
          <w:szCs w:val="22"/>
        </w:rPr>
        <w:t xml:space="preserve">M. teserula </w:t>
      </w:r>
      <w:r>
        <w:rPr>
          <w:rFonts w:ascii="Calibri" w:hAnsi="Calibri" w:eastAsia="Calibri" w:cs="Calibri"/>
          <w:color w:val="000000"/>
          <w:sz w:val="22"/>
          <w:szCs w:val="22"/>
        </w:rPr>
        <w:t xml:space="preserve">White (1) (Eyre &amp; Haack, 2017).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females lay their eggs in various parts of their trees, including smaller branches down to 2 cm in diameter. Plants for planting are considered to be an unlikely pathway for the spread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because they tend to attack weakened or dead trees and weakened trees are unlikely to be traded (EFSA 2018).  However, the trapping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suggests there would be some risk in importing host trees from North America into the EPPO region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little information about the specific impacts of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Belyea (1952) studied the causes of damage to balsam fir around Lake Nigigon, Ontario, Canada.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were scarce in this region during the period of the study and so it was not possible to determine the significance of this species as a pest.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not considered to be plant pests in their own right because they do not tend to attack healthy trees however, they can cause damage to timber and can facilitate the introduction and spread of pine wood nematode in Europe (EFSA, 2018).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rarely, if ever, attack vigorously growing trees (Gibson, 2010). However, the impact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the USA is high, largely due to the export restrictions of forestry products associated with pine wood nematode,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are also responsible for extensive damage to fire damaged, dying, recently killed, and felled conifers of various species—but especially pines, spruce, true firs, and Douglas-fir. The larvae damage infested trees and logs through a series of extensive mines that introduce decay-causing fungi (Baker, 1972, Gibson, 2010). Wood chips harvested from wood infested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can be too small for use at pulp mills (Wilson, 1962).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Wilson (1962) studied attacks by wood boring insects on stacks of felled balsam fir,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in Minnesota.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was the most frequently observed cerambycid beetle, accounting for c. 90-95% of all beetles observed.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were also occasionally observed. Piles of wood placed in full shade suffered less damage than wood exposed to the sun.  Also, standard piles with less wood exposed to beetle damage suffered less damage than piles stacked in ‘pens’ with wood stacked in open perpendicular layers. The average volume of wood lost from standard piles of wood over two years in the sun ranged from 0.47% of interior logs to 2.64% for exterior logs and for piles in the shade from 0.37% for interior logs to 0.59 % for exterior logs.  Damage to felled wood can be reduced by: i) transporting wood as soon as possible after felling; ii) placing wood in the shade of other trees; ii) covering wood in a layer of 45 cm of slash iv) stacking wood in standard piles to reduce the area exposed to beetle attacks; v) removing bark from felled wood; vi) immersing logs in water; vii) applying insecticides to exposed wood (Wilson, 1962, Wilson, 1975).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damage can be prevented by not exposing wood during the July-September egg laying period and minimized by processing any infested wood as soon as possible (Gibson, 2010).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there are no known records of </w:t>
      </w: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 becoming established outside its natural range in North America, the species should be considered as a phytosanitary risk wherever its host genera (i.e.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are found, because interceptions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wood packaging material in Europe have shown there is a viable pathway.</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such as </w:t>
      </w: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 into Europe could introduce pine wood nematode to new locations and hosts, and enhance the rate of spread of the pest. Pinewood nematode has caused severe damage to forests in East Asia and in Europe and the impacts are likely to increase (EFSA, 2018).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is thought to be a vector of pine wood nematode (Akbulut &amp; Stamps, 2012) and has been found in association with of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(Wingfield &amp; Blanchette, 1983).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EU has emergency measures to prevent the spread of pinewood nematode within the union (EU, 2012). These measures include demarcating areas, destruction of contaminated material, heat treatment of wood and wood products, hygiene protocols for forestry vehicles and transport conditions for plants, wood and bark (EFSA, 2018). Measures to reduce the risk of wood becoming infested during transit include: not transporting wood through infested areas; not transporting wood during the flight season or covering the wood during transit. Debarking of harvested wood can also reduce risks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Recommended phytosanitary measures to reduce the risk of the introduction and spread of non-European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and pinewood nematode are set out in the EPPO commodity standard for Coniferae, PM 8/2 (3).  For example, there are recommendations by host species to reduce the risk of introducing pinewood nematode or its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vectors on wood, such as pest free areas, treatment of wood and conditions for the transport of the wood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treatment of wood according to ISPM 15 will reduce the risk of the introduction of xylophagous pests such as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pine wood nematode being introduced to previously uninfested areas in wood packaging material, although treatments are not always applied effectively (Haack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Stamps WT (2012) Insect vectors of the pinewood nematode: a review of the biology and ecology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89-99.</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Togashi K &amp; Linit MJ (2017) Cerambycids as plant disease vectors with special reference to pine wilt. In </w:t>
      </w:r>
      <w:r>
        <w:rPr>
          <w:rFonts w:ascii="Calibri" w:hAnsi="Calibri" w:eastAsia="Calibri" w:cs="Calibri"/>
          <w:i/>
          <w:iCs/>
          <w:color w:val="000000"/>
          <w:sz w:val="22"/>
          <w:szCs w:val="22"/>
        </w:rPr>
        <w:t xml:space="preserve">Cerambycidae of the world</w:t>
      </w:r>
      <w:r>
        <w:rPr>
          <w:rFonts w:ascii="Calibri" w:hAnsi="Calibri" w:eastAsia="Calibri" w:cs="Calibri"/>
          <w:color w:val="000000"/>
          <w:sz w:val="22"/>
          <w:szCs w:val="22"/>
        </w:rPr>
        <w:t xml:space="preserve">, pp. 209-252. CRC Press, Boca Raton, Florida.</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(1972) </w:t>
      </w:r>
      <w:r>
        <w:rPr>
          <w:rFonts w:ascii="Calibri" w:hAnsi="Calibri" w:eastAsia="Calibri" w:cs="Calibri"/>
          <w:i/>
          <w:iCs/>
          <w:color w:val="000000"/>
          <w:sz w:val="22"/>
          <w:szCs w:val="22"/>
        </w:rPr>
        <w:t xml:space="preserve">Eastern forest insects</w:t>
      </w:r>
      <w:r>
        <w:rPr>
          <w:rFonts w:ascii="Calibri" w:hAnsi="Calibri" w:eastAsia="Calibri" w:cs="Calibri"/>
          <w:color w:val="000000"/>
          <w:sz w:val="22"/>
          <w:szCs w:val="22"/>
        </w:rPr>
        <w:t xml:space="preserve">. U.S. Dept. of Agriculture, Forest Service, Washington.</w:t>
      </w:r>
    </w:p>
    <w:p>
      <w:pPr>
        <w:widowControl w:val="on"/>
        <w:pBdr/>
        <w:spacing w:before="220" w:after="220" w:line="240" w:lineRule="auto"/>
        <w:ind w:left="0" w:right="0"/>
        <w:jc w:val="left"/>
      </w:pPr>
      <w:r>
        <w:rPr>
          <w:rFonts w:ascii="Calibri" w:hAnsi="Calibri" w:eastAsia="Calibri" w:cs="Calibri"/>
          <w:color w:val="000000"/>
          <w:sz w:val="22"/>
          <w:szCs w:val="22"/>
        </w:rPr>
        <w:t xml:space="preserve">Belyea RM (1952) Death and deterioration of balsam fir weakened by spruce budworm defoliation in Ontario: Part II. An assessment of the role of associated insect species in the death of severely weakened trees.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729-738.</w:t>
      </w:r>
    </w:p>
    <w:p>
      <w:pPr>
        <w:widowControl w:val="on"/>
        <w:pBdr/>
        <w:spacing w:before="220" w:after="220" w:line="240" w:lineRule="auto"/>
        <w:ind w:left="0" w:right="0"/>
        <w:jc w:val="left"/>
      </w:pPr>
      <w:r>
        <w:rPr>
          <w:rFonts w:ascii="Calibri" w:hAnsi="Calibri" w:eastAsia="Calibri" w:cs="Calibri"/>
          <w:color w:val="000000"/>
          <w:sz w:val="22"/>
          <w:szCs w:val="22"/>
        </w:rPr>
        <w:t xml:space="preserve">Blatt S, Bishop C &amp; Burgher-MacLellan K (2019) Incidence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Parasitaphelenchidae) in Nova Scotia, Canada Christmas tree (Pinaceae) plantations.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350-364.</w:t>
      </w:r>
    </w:p>
    <w:p>
      <w:pPr>
        <w:widowControl w:val="on"/>
        <w:pBdr/>
        <w:spacing w:before="220" w:after="220" w:line="240" w:lineRule="auto"/>
        <w:ind w:left="0" w:right="0"/>
        <w:jc w:val="left"/>
      </w:pPr>
      <w:r>
        <w:rPr>
          <w:rFonts w:ascii="Calibri" w:hAnsi="Calibri" w:eastAsia="Calibri" w:cs="Calibri"/>
          <w:color w:val="000000"/>
          <w:sz w:val="22"/>
          <w:szCs w:val="22"/>
        </w:rPr>
        <w:t xml:space="preserve">Boone CK, Sweeney J, Silk P, Hughes C, Webster RP, Stephen F, Maclauchlan L, Bentz B, Drumont A, Zhao B, Berkvens N, Casteels H &amp; Gregoire J-C (2019)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from different continents can be effectively detected with the same trapping protocol.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de la Fuente B, Saura S, Beck PSA &amp; Fortin M-J (2018) Predicting the spread of an invasive tree pest: The pine wood nematode in Southern Europe. </w:t>
      </w:r>
      <w:r>
        <w:rPr>
          <w:rFonts w:ascii="Calibri" w:hAnsi="Calibri" w:eastAsia="Calibri" w:cs="Calibri"/>
          <w:i/>
          <w:iCs/>
          <w:color w:val="000000"/>
          <w:sz w:val="22"/>
          <w:szCs w:val="22"/>
        </w:rPr>
        <w:t xml:space="preserve">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5, </w:t>
      </w:r>
      <w:r>
        <w:rPr>
          <w:rFonts w:ascii="Calibri" w:hAnsi="Calibri" w:eastAsia="Calibri" w:cs="Calibri"/>
          <w:color w:val="000000"/>
          <w:sz w:val="22"/>
          <w:szCs w:val="22"/>
        </w:rPr>
        <w:t xml:space="preserve">2374-2385.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non-EU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(2012) Commission implementing decision on emergency measures to prevent the spread within the Union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(Steiner et Buhrer) Nickle et al. (the pine wood nematode). In </w:t>
      </w:r>
      <w:r>
        <w:rPr>
          <w:rFonts w:ascii="Calibri" w:hAnsi="Calibri" w:eastAsia="Calibri" w:cs="Calibri"/>
          <w:i/>
          <w:iCs/>
          <w:color w:val="000000"/>
          <w:sz w:val="22"/>
          <w:szCs w:val="22"/>
        </w:rPr>
        <w:t xml:space="preserve">2012/535</w:t>
      </w:r>
      <w:r>
        <w:rPr>
          <w:rFonts w:ascii="Calibri" w:hAnsi="Calibri" w:eastAsia="Calibri" w:cs="Calibri"/>
          <w:color w:val="000000"/>
          <w:sz w:val="22"/>
          <w:szCs w:val="22"/>
        </w:rPr>
        <w:t xml:space="preserve">, Brussels.</w:t>
      </w:r>
    </w:p>
    <w:p>
      <w:pPr>
        <w:widowControl w:val="on"/>
        <w:pBdr/>
        <w:spacing w:before="220" w:after="220" w:line="240" w:lineRule="auto"/>
        <w:ind w:left="0" w:right="0"/>
        <w:jc w:val="left"/>
      </w:pPr>
      <w:r>
        <w:rPr>
          <w:rFonts w:ascii="Calibri" w:hAnsi="Calibri" w:eastAsia="Calibri" w:cs="Calibri"/>
          <w:color w:val="000000"/>
          <w:sz w:val="22"/>
          <w:szCs w:val="22"/>
        </w:rPr>
        <w:t xml:space="preserve">Eyre D &amp; Haack RA (2017) Invasive cerambycid pests and biosecurity measures. In </w:t>
      </w:r>
      <w:r>
        <w:rPr>
          <w:rFonts w:ascii="Calibri" w:hAnsi="Calibri" w:eastAsia="Calibri" w:cs="Calibri"/>
          <w:i/>
          <w:iCs/>
          <w:color w:val="000000"/>
          <w:sz w:val="22"/>
          <w:szCs w:val="22"/>
        </w:rPr>
        <w:t xml:space="preserve">Cerambycidae of the world: Biology and management</w:t>
      </w:r>
      <w:r>
        <w:rPr>
          <w:rFonts w:ascii="Calibri" w:hAnsi="Calibri" w:eastAsia="Calibri" w:cs="Calibri"/>
          <w:color w:val="000000"/>
          <w:sz w:val="22"/>
          <w:szCs w:val="22"/>
        </w:rPr>
        <w:t xml:space="preserve">, pp. 563-618. CRC Press, Boca Raton.</w:t>
      </w:r>
    </w:p>
    <w:p>
      <w:pPr>
        <w:widowControl w:val="on"/>
        <w:pBdr/>
        <w:spacing w:before="220" w:after="220" w:line="240" w:lineRule="auto"/>
        <w:ind w:left="0" w:right="0"/>
        <w:jc w:val="left"/>
      </w:pPr>
      <w:r>
        <w:rPr>
          <w:rFonts w:ascii="Calibri" w:hAnsi="Calibri" w:eastAsia="Calibri" w:cs="Calibri"/>
          <w:color w:val="000000"/>
          <w:sz w:val="22"/>
          <w:szCs w:val="22"/>
        </w:rPr>
        <w:t xml:space="preserve">Fierke MK, Skabeikis DD, Millar JG, Teale SA, McElfresh JS &amp; Hanks LM (2012) Identification of a male-produced aggregation pheromone for Monochamus scutellatus scutellatus and an attractant for the congener Monochamus notatus (Coleoptera: Cerambycidae).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2029-34.</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K (2010) Management guide for sawyer beetles. Forest Health Protection and State Forewsy Organisations, Available online: </w:t>
      </w:r>
      <w:hyperlink r:id="rId34426a91077a63c1e" w:history="1">
        <w:r>
          <w:rPr>
            <w:rFonts w:ascii="Calibri" w:hAnsi="Calibri" w:eastAsia="Calibri" w:cs="Calibri"/>
            <w:color w:val="0000CC"/>
            <w:sz w:val="22"/>
            <w:szCs w:val="22"/>
            <w:u w:val="single"/>
          </w:rPr>
          <w:t xml:space="preserve">https://www.fs.usda.gov/Internet/FSE_DOCUMENTS/stelprdb5187547.pdf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Vasilaky KN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&amp;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Kukor JJ &amp; Martin MM (1986) Cellulose digestion in</w:t>
      </w:r>
      <w:r>
        <w:rPr>
          <w:rFonts w:ascii="Calibri" w:hAnsi="Calibri" w:eastAsia="Calibri" w:cs="Calibri"/>
          <w:i/>
          <w:iCs/>
          <w:color w:val="000000"/>
          <w:sz w:val="22"/>
          <w:szCs w:val="22"/>
        </w:rPr>
        <w:t xml:space="preserve"> Monochamus marmorator</w:t>
      </w:r>
      <w:r>
        <w:rPr>
          <w:rFonts w:ascii="Calibri" w:hAnsi="Calibri" w:eastAsia="Calibri" w:cs="Calibri"/>
          <w:color w:val="000000"/>
          <w:sz w:val="22"/>
          <w:szCs w:val="22"/>
        </w:rPr>
        <w:t xml:space="preserve"> Kby (Coleoptera, Cerambycidae) - role of acquired fungal enzymes.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1057-1070.</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 &amp; Chemsak J (1984) </w:t>
      </w:r>
      <w:r>
        <w:rPr>
          <w:rFonts w:ascii="Calibri" w:hAnsi="Calibri" w:eastAsia="Calibri" w:cs="Calibri"/>
          <w:i/>
          <w:iCs/>
          <w:color w:val="000000"/>
          <w:sz w:val="22"/>
          <w:szCs w:val="22"/>
        </w:rPr>
        <w:t xml:space="preserve">The Cerambycidae of North America Part VII, No. 1: taxonomy and classification of the subfamily Lamiinae, tribes Parmeninie through Acanthoderini</w:t>
      </w:r>
      <w:r>
        <w:rPr>
          <w:rFonts w:ascii="Calibri" w:hAnsi="Calibri" w:eastAsia="Calibri" w:cs="Calibri"/>
          <w:color w:val="000000"/>
          <w:sz w:val="22"/>
          <w:szCs w:val="22"/>
        </w:rPr>
        <w:t xml:space="preserve">. University of California.</w:t>
      </w:r>
    </w:p>
    <w:p>
      <w:pPr>
        <w:widowControl w:val="on"/>
        <w:pBdr/>
        <w:spacing w:before="220" w:after="220" w:line="240" w:lineRule="auto"/>
        <w:ind w:left="0" w:right="0"/>
        <w:jc w:val="left"/>
      </w:pPr>
      <w:r>
        <w:rPr>
          <w:rFonts w:ascii="Calibri" w:hAnsi="Calibri" w:eastAsia="Calibri" w:cs="Calibri"/>
          <w:color w:val="000000"/>
          <w:sz w:val="22"/>
          <w:szCs w:val="22"/>
        </w:rPr>
        <w:t xml:space="preserve">Mas H, Hernández R, Villaroya MG, Sánchez G, Pérez-Laorga E, González EG, Ortiz AL, Lencina J, Rovira J, Marco M, Pérez, Gil MAI, Sánchez-García FJ, Bordón P &amp; Pastor C (2013) Comportamiento de dispersión y capacidad de vuelo a larga distancia de Monochamus galloprovincialis (Olivier 1795).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Congress of Foretry, Spain.</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Allison JD, Crowe CM, Dickinson DM, Eglitis A, Hofstetter RW, Munson AS, Poland TM, Reid LS, Steed BE &amp; Sweeney JD (2016) Pine Sawyers (Coleoptera: Cerambycidae) Attracted to α-Pinene, Monochamol, and Ipsenol in North America.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1205-1214.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Dodds KJ, Eglitis A, Fettig CJ, Hofstetter RW, Langor DW, Mayfield AE, 3rd, Munson AS, Poland TM &amp; Raffa KF (2013) Trap lure blend of pine volatiles and bark beetle pheromones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(Coleoptera: Cerambycidae) in pine forests of Canada and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1684-92.</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MC (1986) Within-tree effects of bark beetle insect associates on the emergence of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1104-1108.</w:t>
      </w:r>
    </w:p>
    <w:p>
      <w:pPr>
        <w:widowControl w:val="on"/>
        <w:pBdr/>
        <w:spacing w:before="220" w:after="220" w:line="240" w:lineRule="auto"/>
        <w:ind w:left="0" w:right="0"/>
        <w:jc w:val="left"/>
      </w:pPr>
      <w:r>
        <w:rPr>
          <w:rFonts w:ascii="Calibri" w:hAnsi="Calibri" w:eastAsia="Calibri" w:cs="Calibri"/>
          <w:color w:val="000000"/>
          <w:sz w:val="22"/>
          <w:szCs w:val="22"/>
        </w:rPr>
        <w:t xml:space="preserve">Ostojá-Starzewski JC (2014) Imported furniture – A pathway for the introduction of plant pests into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34-36.</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&amp; Sun J (2009) Role of human-mediated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e4646.</w:t>
      </w:r>
    </w:p>
    <w:p>
      <w:pPr>
        <w:widowControl w:val="on"/>
        <w:pBdr/>
        <w:spacing w:before="220" w:after="220" w:line="240" w:lineRule="auto"/>
        <w:ind w:left="0" w:right="0"/>
        <w:jc w:val="left"/>
      </w:pPr>
      <w:r>
        <w:rPr>
          <w:rFonts w:ascii="Calibri" w:hAnsi="Calibri" w:eastAsia="Calibri" w:cs="Calibri"/>
          <w:color w:val="000000"/>
          <w:sz w:val="22"/>
          <w:szCs w:val="22"/>
        </w:rPr>
        <w:t xml:space="preserve">Safranyik L &amp; Raske AG (1970) Sequential sampling plan for larvae of Monochamus in lodgepole pine logs.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1903-1906.</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&amp; Shigesada N (2006) Spread of the pinewood nematode vectored by the Japanese pine sawyer: Modeling and analytical approaches. </w:t>
      </w:r>
      <w:r>
        <w:rPr>
          <w:rFonts w:ascii="Calibri" w:hAnsi="Calibri" w:eastAsia="Calibri" w:cs="Calibri"/>
          <w:i/>
          <w:iCs/>
          <w:color w:val="000000"/>
          <w:sz w:val="22"/>
          <w:szCs w:val="22"/>
        </w:rPr>
        <w:t xml:space="preserve">Population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271-283.</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(1962) Insect damage to field-piled pulpwood in northern Minnesota.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510-516 pp.</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(1975) White spotted sawyer. In </w:t>
      </w:r>
      <w:r>
        <w:rPr>
          <w:rFonts w:ascii="Calibri" w:hAnsi="Calibri" w:eastAsia="Calibri" w:cs="Calibri"/>
          <w:i/>
          <w:iCs/>
          <w:color w:val="000000"/>
          <w:sz w:val="22"/>
          <w:szCs w:val="22"/>
        </w:rPr>
        <w:t xml:space="preserve">Forest Pest Leaflet 74</w:t>
      </w:r>
      <w:r>
        <w:rPr>
          <w:rFonts w:ascii="Calibri" w:hAnsi="Calibri" w:eastAsia="Calibri" w:cs="Calibri"/>
          <w:color w:val="000000"/>
          <w:sz w:val="22"/>
          <w:szCs w:val="22"/>
        </w:rPr>
        <w:t xml:space="preserve">. U.S. Dept. of Agriculture, Forest Service, Northern Area State &amp; Private Forestry.</w:t>
      </w:r>
    </w:p>
    <w:p>
      <w:pPr>
        <w:widowControl w:val="on"/>
        <w:pBdr/>
        <w:spacing w:before="220" w:after="220" w:line="240" w:lineRule="auto"/>
        <w:ind w:left="0" w:right="0"/>
        <w:jc w:val="left"/>
      </w:pPr>
      <w:r>
        <w:rPr>
          <w:rFonts w:ascii="Calibri" w:hAnsi="Calibri" w:eastAsia="Calibri" w:cs="Calibri"/>
          <w:color w:val="000000"/>
          <w:sz w:val="22"/>
          <w:szCs w:val="22"/>
        </w:rPr>
        <w:t xml:space="preserve">Wingfield MJ &amp; Blanchette RA (1983) The pine-wood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in Minnesota and Wisconsin - insect associates and transmission studies. </w:t>
      </w:r>
      <w:r>
        <w:rPr>
          <w:rFonts w:ascii="Calibri" w:hAnsi="Calibri" w:eastAsia="Calibri" w:cs="Calibri"/>
          <w:i/>
          <w:iCs/>
          <w:color w:val="000000"/>
          <w:sz w:val="22"/>
          <w:szCs w:val="22"/>
        </w:rPr>
        <w:t xml:space="preserve">Canadian Journal of Forest Research-Revue Canadienne de Recherche Forestière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1068-1076.</w:t>
      </w:r>
    </w:p>
    <w:p>
      <w:pPr>
        <w:widowControl w:val="on"/>
        <w:pBdr/>
        <w:spacing w:before="220" w:after="220" w:line="240" w:lineRule="auto"/>
        <w:ind w:left="0" w:right="0"/>
        <w:jc w:val="left"/>
      </w:pPr>
      <w:r>
        <w:rPr>
          <w:rFonts w:ascii="Calibri" w:hAnsi="Calibri" w:eastAsia="Calibri" w:cs="Calibri"/>
          <w:color w:val="000000"/>
          <w:sz w:val="22"/>
          <w:szCs w:val="22"/>
        </w:rPr>
        <w:t xml:space="preserve">Zhang J-J, Zhang R-Z &amp; Chen J-Y (2007) Species and their dispersal ability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as vectors to transmit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[Abstract only]. </w:t>
      </w:r>
      <w:r>
        <w:rPr>
          <w:rFonts w:ascii="Calibri" w:hAnsi="Calibri" w:eastAsia="Calibri" w:cs="Calibri"/>
          <w:i/>
          <w:iCs/>
          <w:color w:val="000000"/>
          <w:sz w:val="22"/>
          <w:szCs w:val="22"/>
        </w:rPr>
        <w:t xml:space="preserve">Journal of Zhejiang A&amp;F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350.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Dominic Eyre (Defra, GB).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marmorator</w:t>
      </w:r>
      <w:r>
        <w:rPr>
          <w:rFonts w:ascii="Calibri" w:hAnsi="Calibri" w:eastAsia="Calibri" w:cs="Calibri"/>
          <w:color w:val="000000"/>
          <w:sz w:val="22"/>
          <w:szCs w:val="22"/>
        </w:rPr>
        <w:t xml:space="preserve">. EPPO datasheets on pests recommended for regulation. Available online. </w:t>
      </w:r>
      <w:hyperlink r:id="rId61296a91077a6432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76696182" name="name59026a91077a6440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0846a91077a6440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4535797">
    <w:multiLevelType w:val="hybridMultilevel"/>
    <w:lvl w:ilvl="0" w:tplc="27984050">
      <w:start w:val="1"/>
      <w:numFmt w:val="decimal"/>
      <w:lvlText w:val="%1."/>
      <w:lvlJc w:val="left"/>
      <w:pPr>
        <w:ind w:left="720" w:hanging="360"/>
      </w:pPr>
    </w:lvl>
    <w:lvl w:ilvl="1" w:tplc="27984050" w:tentative="1">
      <w:start w:val="1"/>
      <w:numFmt w:val="lowerLetter"/>
      <w:lvlText w:val="%2."/>
      <w:lvlJc w:val="left"/>
      <w:pPr>
        <w:ind w:left="1440" w:hanging="360"/>
      </w:pPr>
    </w:lvl>
    <w:lvl w:ilvl="2" w:tplc="27984050" w:tentative="1">
      <w:start w:val="1"/>
      <w:numFmt w:val="lowerRoman"/>
      <w:lvlText w:val="%3."/>
      <w:lvlJc w:val="right"/>
      <w:pPr>
        <w:ind w:left="2160" w:hanging="180"/>
      </w:pPr>
    </w:lvl>
    <w:lvl w:ilvl="3" w:tplc="27984050" w:tentative="1">
      <w:start w:val="1"/>
      <w:numFmt w:val="decimal"/>
      <w:lvlText w:val="%4."/>
      <w:lvlJc w:val="left"/>
      <w:pPr>
        <w:ind w:left="2880" w:hanging="360"/>
      </w:pPr>
    </w:lvl>
    <w:lvl w:ilvl="4" w:tplc="27984050" w:tentative="1">
      <w:start w:val="1"/>
      <w:numFmt w:val="lowerLetter"/>
      <w:lvlText w:val="%5."/>
      <w:lvlJc w:val="left"/>
      <w:pPr>
        <w:ind w:left="3600" w:hanging="360"/>
      </w:pPr>
    </w:lvl>
    <w:lvl w:ilvl="5" w:tplc="27984050" w:tentative="1">
      <w:start w:val="1"/>
      <w:numFmt w:val="lowerRoman"/>
      <w:lvlText w:val="%6."/>
      <w:lvlJc w:val="right"/>
      <w:pPr>
        <w:ind w:left="4320" w:hanging="180"/>
      </w:pPr>
    </w:lvl>
    <w:lvl w:ilvl="6" w:tplc="27984050" w:tentative="1">
      <w:start w:val="1"/>
      <w:numFmt w:val="decimal"/>
      <w:lvlText w:val="%7."/>
      <w:lvlJc w:val="left"/>
      <w:pPr>
        <w:ind w:left="5040" w:hanging="360"/>
      </w:pPr>
    </w:lvl>
    <w:lvl w:ilvl="7" w:tplc="27984050" w:tentative="1">
      <w:start w:val="1"/>
      <w:numFmt w:val="lowerLetter"/>
      <w:lvlText w:val="%8."/>
      <w:lvlJc w:val="left"/>
      <w:pPr>
        <w:ind w:left="5760" w:hanging="360"/>
      </w:pPr>
    </w:lvl>
    <w:lvl w:ilvl="8" w:tplc="27984050" w:tentative="1">
      <w:start w:val="1"/>
      <w:numFmt w:val="lowerRoman"/>
      <w:lvlText w:val="%9."/>
      <w:lvlJc w:val="right"/>
      <w:pPr>
        <w:ind w:left="6480" w:hanging="180"/>
      </w:pPr>
    </w:lvl>
  </w:abstractNum>
  <w:abstractNum w:abstractNumId="60014536">
    <w:multiLevelType w:val="hybridMultilevel"/>
    <w:lvl w:ilvl="0" w:tplc="16480819">
      <w:start w:val="1"/>
      <w:numFmt w:val="decimal"/>
      <w:lvlText w:val="%1."/>
      <w:lvlJc w:val="left"/>
      <w:pPr>
        <w:ind w:left="720" w:hanging="360"/>
      </w:pPr>
    </w:lvl>
    <w:lvl w:ilvl="1" w:tplc="16480819" w:tentative="1">
      <w:start w:val="1"/>
      <w:numFmt w:val="lowerLetter"/>
      <w:lvlText w:val="%2."/>
      <w:lvlJc w:val="left"/>
      <w:pPr>
        <w:ind w:left="1440" w:hanging="360"/>
      </w:pPr>
    </w:lvl>
    <w:lvl w:ilvl="2" w:tplc="16480819" w:tentative="1">
      <w:start w:val="1"/>
      <w:numFmt w:val="lowerRoman"/>
      <w:lvlText w:val="%3."/>
      <w:lvlJc w:val="right"/>
      <w:pPr>
        <w:ind w:left="2160" w:hanging="180"/>
      </w:pPr>
    </w:lvl>
    <w:lvl w:ilvl="3" w:tplc="16480819" w:tentative="1">
      <w:start w:val="1"/>
      <w:numFmt w:val="decimal"/>
      <w:lvlText w:val="%4."/>
      <w:lvlJc w:val="left"/>
      <w:pPr>
        <w:ind w:left="2880" w:hanging="360"/>
      </w:pPr>
    </w:lvl>
    <w:lvl w:ilvl="4" w:tplc="16480819" w:tentative="1">
      <w:start w:val="1"/>
      <w:numFmt w:val="lowerLetter"/>
      <w:lvlText w:val="%5."/>
      <w:lvlJc w:val="left"/>
      <w:pPr>
        <w:ind w:left="3600" w:hanging="360"/>
      </w:pPr>
    </w:lvl>
    <w:lvl w:ilvl="5" w:tplc="16480819" w:tentative="1">
      <w:start w:val="1"/>
      <w:numFmt w:val="lowerRoman"/>
      <w:lvlText w:val="%6."/>
      <w:lvlJc w:val="right"/>
      <w:pPr>
        <w:ind w:left="4320" w:hanging="180"/>
      </w:pPr>
    </w:lvl>
    <w:lvl w:ilvl="6" w:tplc="16480819" w:tentative="1">
      <w:start w:val="1"/>
      <w:numFmt w:val="decimal"/>
      <w:lvlText w:val="%7."/>
      <w:lvlJc w:val="left"/>
      <w:pPr>
        <w:ind w:left="5040" w:hanging="360"/>
      </w:pPr>
    </w:lvl>
    <w:lvl w:ilvl="7" w:tplc="16480819" w:tentative="1">
      <w:start w:val="1"/>
      <w:numFmt w:val="lowerLetter"/>
      <w:lvlText w:val="%8."/>
      <w:lvlJc w:val="left"/>
      <w:pPr>
        <w:ind w:left="5760" w:hanging="360"/>
      </w:pPr>
    </w:lvl>
    <w:lvl w:ilvl="8" w:tplc="16480819" w:tentative="1">
      <w:start w:val="1"/>
      <w:numFmt w:val="lowerRoman"/>
      <w:lvlText w:val="%9."/>
      <w:lvlJc w:val="right"/>
      <w:pPr>
        <w:ind w:left="6480" w:hanging="180"/>
      </w:pPr>
    </w:lvl>
  </w:abstractNum>
  <w:abstractNum w:abstractNumId="60014535">
    <w:multiLevelType w:val="hybridMultilevel"/>
    <w:lvl w:ilvl="0" w:tplc="585127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014535">
    <w:abstractNumId w:val="60014535"/>
  </w:num>
  <w:num w:numId="60014536">
    <w:abstractNumId w:val="60014536"/>
  </w:num>
  <w:num w:numId="334535797">
    <w:abstractNumId w:val="33453579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7588672" Type="http://schemas.microsoft.com/office/2011/relationships/commentsExtended" Target="commentsExtended.xml"/><Relationship Id="rId425073954" Type="http://schemas.microsoft.com/office/2011/relationships/people" Target="people.xml"/><Relationship Id="rId11116a91077a6087f" Type="http://schemas.openxmlformats.org/officeDocument/2006/relationships/hyperlink" Target="https://gd.eppo.int/taxon/MONCMR/" TargetMode="External"/><Relationship Id="rId33236a91077a608c2" Type="http://schemas.openxmlformats.org/officeDocument/2006/relationships/hyperlink" Target="https://gd.eppo.int/taxon/MONCMR/categorization" TargetMode="External"/><Relationship Id="rId34426a91077a63c1e" Type="http://schemas.openxmlformats.org/officeDocument/2006/relationships/hyperlink" Target="https://www.fs.usda.gov/Internet/FSE_DOCUMENTS/stelprdb5187547.pdf" TargetMode="External"/><Relationship Id="rId61296a91077a6432c" Type="http://schemas.openxmlformats.org/officeDocument/2006/relationships/hyperlink" Target="https://gd.eppo.int" TargetMode="External"/><Relationship Id="rId88236a91077a61b63" Type="http://schemas.openxmlformats.org/officeDocument/2006/relationships/image" Target="media/imgrId88236a91077a61b63.jpg"/><Relationship Id="rId40846a91077a64409" Type="http://schemas.openxmlformats.org/officeDocument/2006/relationships/image" Target="media/imgrId40846a91077a6440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