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Melampsora medusae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Melampsora medusae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Thümen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Melampsoraceae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Caeoma faulliana</w:t>
            </w:r>
            <w:r>
              <w:rPr>
                <w:rFonts w:ascii="Calibri" w:hAnsi="Calibri" w:eastAsia="Calibri" w:cs="Calibri"/>
                <w:color w:val="000000"/>
                <w:position w:val="-3"/>
                <w:sz w:val="22"/>
                <w:szCs w:val="22"/>
              </w:rPr>
              <w:t xml:space="preserve"> Hunter, </w:t>
            </w:r>
            <w:r>
              <w:rPr>
                <w:rFonts w:ascii="Calibri" w:hAnsi="Calibri" w:eastAsia="Calibri" w:cs="Calibri"/>
                <w:i/>
                <w:iCs/>
                <w:color w:val="000000"/>
                <w:position w:val="-3"/>
                <w:sz w:val="22"/>
                <w:szCs w:val="22"/>
              </w:rPr>
              <w:t xml:space="preserve">Melampsora albertensis</w:t>
            </w:r>
            <w:r>
              <w:rPr>
                <w:rFonts w:ascii="Calibri" w:hAnsi="Calibri" w:eastAsia="Calibri" w:cs="Calibri"/>
                <w:color w:val="000000"/>
                <w:position w:val="-3"/>
                <w:sz w:val="22"/>
                <w:szCs w:val="22"/>
              </w:rPr>
              <w:t xml:space="preserve"> Arthur, </w:t>
            </w:r>
            <w:r>
              <w:rPr>
                <w:rFonts w:ascii="Calibri" w:hAnsi="Calibri" w:eastAsia="Calibri" w:cs="Calibri"/>
                <w:i/>
                <w:iCs/>
                <w:color w:val="000000"/>
                <w:position w:val="-3"/>
                <w:sz w:val="22"/>
                <w:szCs w:val="22"/>
              </w:rPr>
              <w:t xml:space="preserve">Uredo medusae</w:t>
            </w:r>
            <w:r>
              <w:rPr>
                <w:rFonts w:ascii="Calibri" w:hAnsi="Calibri" w:eastAsia="Calibri" w:cs="Calibri"/>
                <w:color w:val="000000"/>
                <w:position w:val="-3"/>
                <w:sz w:val="22"/>
                <w:szCs w:val="22"/>
              </w:rPr>
              <w:t xml:space="preserve"> (von Thümen) Arthur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conifer/poplar rust, leaf rust of poplar</w:t>
            </w:r>
            <w:hyperlink r:id="rId22946a45e68850a7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9846a45e68850ac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MELMME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379721" name="name51206a45e688511f6" descr="13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73.jpg"/>
                          <pic:cNvPicPr/>
                        </pic:nvPicPr>
                        <pic:blipFill>
                          <a:blip r:embed="rId24456a45e688511f4" cstate="print"/>
                          <a:stretch>
                            <a:fillRect/>
                          </a:stretch>
                        </pic:blipFill>
                        <pic:spPr>
                          <a:xfrm>
                            <a:off x="0" y="0"/>
                            <a:ext cx="2160000" cy="1281600"/>
                          </a:xfrm>
                          <a:prstGeom prst="rect">
                            <a:avLst/>
                          </a:prstGeom>
                          <a:ln w="0">
                            <a:noFill/>
                          </a:ln>
                        </pic:spPr>
                      </pic:pic>
                    </a:graphicData>
                  </a:graphic>
                </wp:inline>
              </w:drawing>
            </w:r>
            <w:hyperlink r:id="rId39496a45e6885131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Thüm. and </w:t>
      </w:r>
      <w:r>
        <w:rPr>
          <w:rFonts w:ascii="Calibri" w:hAnsi="Calibri" w:eastAsia="Calibri" w:cs="Calibri"/>
          <w:i/>
          <w:iCs/>
          <w:color w:val="000000"/>
          <w:sz w:val="22"/>
          <w:szCs w:val="22"/>
        </w:rPr>
        <w:t xml:space="preserve">M. albertensis</w:t>
      </w:r>
      <w:r>
        <w:rPr>
          <w:rFonts w:ascii="Calibri" w:hAnsi="Calibri" w:eastAsia="Calibri" w:cs="Calibri"/>
          <w:color w:val="000000"/>
          <w:sz w:val="22"/>
          <w:szCs w:val="22"/>
        </w:rPr>
        <w:t xml:space="preserve"> Arth. were recognized as distinct species throughout the first half of the 20th century (Sinclair &amp; Lyon, 2005), and then synonymized by Ziller (1965) as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Nevertheless, differences in urediniospore morphology and telial host range prompted Shain (1988) to split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into two formae speciales: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 </w:t>
      </w:r>
      <w:r>
        <w:rPr>
          <w:rFonts w:ascii="Calibri" w:hAnsi="Calibri" w:eastAsia="Calibri" w:cs="Calibri"/>
          <w:color w:val="000000"/>
          <w:sz w:val="22"/>
          <w:szCs w:val="22"/>
        </w:rPr>
        <w:t xml:space="preserve">(later renamed</w:t>
      </w:r>
      <w:r>
        <w:rPr>
          <w:rFonts w:ascii="Calibri" w:hAnsi="Calibri" w:eastAsia="Calibri" w:cs="Calibri"/>
          <w:i/>
          <w:iCs/>
          <w:color w:val="000000"/>
          <w:sz w:val="22"/>
          <w:szCs w:val="22"/>
        </w:rPr>
        <w:t xml:space="preserve"> ‘deltoidis’</w:t>
      </w:r>
      <w:r>
        <w:rPr>
          <w:rFonts w:ascii="Calibri" w:hAnsi="Calibri" w:eastAsia="Calibri" w:cs="Calibri"/>
          <w:color w:val="000000"/>
          <w:sz w:val="22"/>
          <w:szCs w:val="22"/>
        </w:rPr>
        <w:t xml:space="preserve">) is pathogenic primarily on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is pathogenic primarily on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produces slightly smaller urediniospores (Shain 1988). Furthermore, a recent multigene phylogeny study showed that these two formae speciales are distinct phylogenetic lineages and therefore should be considered again as distinct species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belonging to the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Tacamahaca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their hybrids and cultivars, whereas the only telial host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with reported infection in nature is </w:t>
      </w:r>
      <w:r>
        <w:rPr>
          <w:rFonts w:ascii="Calibri" w:hAnsi="Calibri" w:eastAsia="Calibri" w:cs="Calibri"/>
          <w:i/>
          <w:iCs/>
          <w:color w:val="000000"/>
          <w:sz w:val="22"/>
          <w:szCs w:val="22"/>
        </w:rPr>
        <w:t xml:space="preserve">P. tremuloides, </w:t>
      </w:r>
      <w:r>
        <w:rPr>
          <w:rFonts w:ascii="Calibri" w:hAnsi="Calibri" w:eastAsia="Calibri" w:cs="Calibri"/>
          <w:color w:val="000000"/>
          <w:sz w:val="22"/>
          <w:szCs w:val="22"/>
        </w:rPr>
        <w:t xml:space="preserve">belonging to the section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The aecial hosts are conifers in the family Pinaceae. In North America,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are the principal hosts for the aecial state of the fungus found infected in nature (Ziller, 1965; 1974). In addition, many other conifers, such as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mertensiana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sitchensis</w:t>
      </w:r>
      <w:r>
        <w:rPr>
          <w:rFonts w:ascii="Calibri" w:hAnsi="Calibri" w:eastAsia="Calibri" w:cs="Calibri"/>
          <w:color w:val="000000"/>
          <w:sz w:val="22"/>
          <w:szCs w:val="22"/>
        </w:rPr>
        <w:t xml:space="preserve">, have been artificially infected at the seedling stage. For more information, see Walker &amp; Hartigan (1972) and Pinon (1986).</w:t>
      </w:r>
    </w:p>
    <w:p/>
    <w:p>
      <w:pPr>
        <w:widowControl w:val="on"/>
        <w:pBdr/>
        <w:spacing w:before="0" w:after="0" w:line="240" w:lineRule="auto"/>
        <w:ind w:left="0" w:right="0"/>
        <w:jc w:val="left"/>
      </w:pPr>
      <w:r>
        <w:rPr>
          <w:rFonts w:ascii="Calibri" w:hAnsi="Calibri" w:eastAsia="Calibri" w:cs="Calibri"/>
          <w:color w:val="000000"/>
          <w:sz w:val="22"/>
          <w:szCs w:val="22"/>
        </w:rPr>
        <w:t xml:space="preserve">
Telial hosts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p>
    <w:tbl>
      <w:tblPr>
        <w:tblStyle w:val="NormalTablePHPDOCX"/>
        <w:tblCellMar>
          <w:left w:type="dxa" w:w="0"/>
          <w:right w:type="dxa" w:w="0"/>
        </w:tblCellMar>
        <w:tblW w:w="5000" w:type="pct"/>
        <w:tblCellSpacing w:w="30" w:type="dxa"/>
        <w:tblInd w:w="0" w:type="auto"/>
        <w:tblBorders/>
      </w:tblPr>
      <w:tblGrid>
        <w:gridCol w:w="1833.3333333333"/>
        <w:gridCol w:w="1768.5185185185"/>
        <w:gridCol w:w="1398.1481481481"/>
      </w:tblGrid>
      <w:tr>
        <w:trPr>
          <w:trHeight w:val="0" w:hRule="atLeast"/>
        </w:trPr>
        <w:tc>
          <w:tcPr>
            <w:tcW w:w="1833.3333333333"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Host plant scientific name</w:t>
            </w:r>
          </w:p>
          <w:p/>
        </w:tc>
        <w:tc>
          <w:tcPr>
            <w:tcW w:w="1768.5185185185"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Bibliographic reference</w:t>
            </w:r>
          </w:p>
        </w:tc>
        <w:tc>
          <w:tcPr>
            <w:tcW w:w="1398.1481481481"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Comment </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Populus deltoides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nigra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Walker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deltoides</w:t>
            </w:r>
            <w:r>
              <w:rPr>
                <w:rFonts w:ascii="Calibri" w:hAnsi="Calibri" w:eastAsia="Calibri" w:cs="Calibri"/>
                <w:color w:val="000000"/>
                <w:position w:val="0"/>
                <w:sz w:val="22"/>
                <w:szCs w:val="22"/>
              </w:rPr>
              <w:t xml:space="preserve"> x</w:t>
            </w:r>
            <w:r>
              <w:rPr>
                <w:rFonts w:ascii="Calibri" w:hAnsi="Calibri" w:eastAsia="Calibri" w:cs="Calibri"/>
                <w:i/>
                <w:iCs/>
                <w:color w:val="000000"/>
                <w:position w:val="0"/>
                <w:sz w:val="22"/>
                <w:szCs w:val="22"/>
              </w:rPr>
              <w:t xml:space="preserve"> P. nigra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Schipper &amp; Dawson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balsamifera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Walker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maximowiczii</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Hiratsuka (1939)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simonii</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Sharma &amp; Heather (1976)</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deltoides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balsamifera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Schipper &amp; Dawson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Intersectional</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trichocarpa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deltoides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Van Kraayenoord (1984)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Intersectional</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maximowiczii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trichocarpa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Van Kraayenoord (1984)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mexicana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Lloyd &amp; Smith (2018)</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Abaso</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szechuanica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Zheng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(2019)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yunnanensis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Zheng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(2019)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bl>
    <w:p/>
    <w:p>
      <w:pPr>
        <w:widowControl w:val="on"/>
        <w:pBdr/>
        <w:spacing w:before="0" w:after="0" w:line="240" w:lineRule="auto"/>
        <w:ind w:left="0" w:right="0"/>
        <w:jc w:val="left"/>
      </w:pPr>
      <w:r>
        <w:rPr>
          <w:rFonts w:ascii="Calibri" w:hAnsi="Calibri" w:eastAsia="Calibri" w:cs="Calibri"/>
          <w:color w:val="000000"/>
          <w:sz w:val="22"/>
          <w:szCs w:val="22"/>
        </w:rPr>
        <w:t xml:space="preserve">
Telial host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p>
    <w:tbl>
      <w:tblPr>
        <w:tblStyle w:val="NormalTablePHPDOCX"/>
        <w:tblCellMar>
          <w:left w:type="dxa" w:w="0"/>
          <w:right w:type="dxa" w:w="0"/>
        </w:tblCellMar>
        <w:tblW w:w="0" w:type="auto"/>
        <w:tblCellSpacing w:w="30" w:type="dxa"/>
        <w:tblInd w:w="0" w:type="auto"/>
        <w:tblBorders/>
      </w:tblPr>
      <w:tblGrid>
        <w:gridCol w:w="1833.3333333333"/>
        <w:gridCol w:w="1768.5185185185"/>
        <w:gridCol w:w="1398.1481481481"/>
      </w:tblGrid>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plant scientific name</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Bibliographic reference</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Comment </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Populus tremuloides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(1955)</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Populus</w:t>
            </w:r>
          </w:p>
        </w:tc>
      </w:tr>
    </w:tbl>
    <w:p/>
    <w:p>
      <w:pPr>
        <w:widowControl w:val="on"/>
        <w:pBdr/>
        <w:spacing w:before="0" w:after="0" w:line="240" w:lineRule="auto"/>
        <w:ind w:left="0" w:right="0"/>
        <w:jc w:val="left"/>
      </w:pPr>
      <w:r>
        <w:rPr>
          <w:rFonts w:ascii="Calibri" w:hAnsi="Calibri" w:eastAsia="Calibri" w:cs="Calibri"/>
          <w:color w:val="000000"/>
          <w:sz w:val="22"/>
          <w:szCs w:val="22"/>
        </w:rPr>
        <w:t xml:space="preserve">
Aecial hosts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with reported infection in nature
</w:t>
      </w:r>
    </w:p>
    <w:tbl>
      <w:tblPr>
        <w:tblStyle w:val="NormalTablePHPDOCX"/>
        <w:tblCellMar>
          <w:left w:type="dxa" w:w="0"/>
          <w:right w:type="dxa" w:w="0"/>
        </w:tblCellMar>
        <w:tblW w:w="0" w:type="auto"/>
        <w:tblCellSpacing w:w="30" w:type="dxa"/>
        <w:tblInd w:w="0" w:type="auto"/>
        <w:tblBorders/>
      </w:tblPr>
      <w:tblGrid>
        <w:gridCol w:w="2544.9871465296"/>
        <w:gridCol w:w="2455.0128534704"/>
      </w:tblGrid>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plant scientific name</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Bibliographic reference</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Larix laricina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 occidentalis</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 decidua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Spiers (1975)</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Pseudotsuga menziesii</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Molnar &amp; Sivak (1964)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Pinus contorta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ponderosa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Molnar &amp; Sivak (1964)</w:t>
            </w: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szechuanica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generosa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 ontariensis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is indigenous to North America. Based on the poplar clones infected outside North America, it appears that only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spread from there to other continents (Hiratsuka, 1939; Dupias, 1965; Wilkinson &amp; Spiers, 1976;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no evidence that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has ever been found on any other continent. Although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was first reported from Spain about one century ago (Fragoso, 1925), it has failed to become invasive in Europe and its distribution is restricted to Southwestern Europe (Pinon, 1986;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report from Uruguay (Walker, 1975) is based on a single doubtful record, which may refer to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w:t>
      </w:r>
    </w:p>
    <w:p>
      <w:r>
        <w:drawing>
          <wp:inline distT="0" distB="0" distL="0" distR="0">
            <wp:extent cx="6120000" cy="3067200"/>
            <wp:docPr id="74157306" name="name15676a45e68854cd1" descr="MELMM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MME_distribution_map.jpg"/>
                    <pic:cNvPicPr/>
                  </pic:nvPicPr>
                  <pic:blipFill>
                    <a:blip r:embed="rId47936a45e68854cc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Portugal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Hubei, Jiangsu, Shaanxi, Sichuan), India (Himachal Pradesh), Japan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Mexico, United States of America (Alabama, Alaska, Arizona, Arkansas, California, Colorado, Connecticut, Florida, Georgia, Idaho, Illinois, Indiana, Iowa, Kansas, Kentucky, Louisiana, Maine, Maryland, Massachusetts, Michigan, Minnesota, Mississippi, Missouri, Montana, Nebraska, New Hampshire, New Jersey, New Mexico, New York, North Carolina, North Dakota, Ohio, Oklahoma, Oregon, Pennsylvania, South Carolina, South Dakota, Tennessee, Texas, Vermont, Washington, West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Parana, Rio Grande do Sul,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heteroecious but, in mild climates, the urediniospore stage is able to overwinter in buds and bark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without the need for an alternate host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Wilkinson &amp; Spiers, 1976). Basidiospores from overwintered telia 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infect conifer needles in spring. Pycnia and aecia are produced on these needles, and aeciospores, which may be carried over long distances in the wind, infect susceptible poplars in the summer; these spores cannot reinfect the conifer hosts. The urediniospores produced on poplars can also be carried long distances by wind (Wilkinson &amp; Spiers, 1976). Urediniospores are the main source of inoculum in the Southern Hemisphere and warmer regions of the Northern Hemisphere, in which the overwintering of teliospores with the subsequent spring formation of basidiospores and alternation on coniferous hosts has not yet been observed (Walker, 1975; Sinclair and Lyon, 2005). In its native range (North America), it was shown that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alternates in the northern larch-poplar area of sympatry, and then spreads asexually to southern regions without larch (Bourassa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 penetration of poplar leaves by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accomplished by germ tubes which are formed by the urediniospores. These germ tubes follow the leaf surface and enter the leaf through the stomata with or without forming appressoria. Substomatal vesicles are formed which extend and delimit several cells, of which one functions as the haustorial mother cell; this forms a haustorium and finally establishes the host infection (Spiers &amp; Hopcroft, 1988).</w:t>
      </w:r>
    </w:p>
    <w:p>
      <w:pPr>
        <w:widowControl w:val="on"/>
        <w:pBdr/>
        <w:spacing w:before="220" w:after="220" w:line="240" w:lineRule="auto"/>
        <w:ind w:left="0" w:right="0"/>
        <w:jc w:val="both"/>
      </w:pPr>
      <w:r>
        <w:rPr>
          <w:rFonts w:ascii="Calibri" w:hAnsi="Calibri" w:eastAsia="Calibri" w:cs="Calibri"/>
          <w:color w:val="000000"/>
          <w:sz w:val="22"/>
          <w:szCs w:val="22"/>
        </w:rPr>
        <w:t xml:space="preserve">Wet, warm and humid weather conditions favour rapid spread of the disease. For more information, see Hepting (1971), McMillan (1972), Ziller (1974), Spiers &amp; Hopcroft (1985; 1988).</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different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isolates showed the occurrence of several distinct races of the fungus which also varied in their aggressiveness (Prakash &amp; Thielges, 1987; Newcombe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This diversity of virulence is mainly influenced by temperature (Prakash &amp; Thielges, 1989), but also by geographical location. In experiments, isolates from a northern latitude were more aggressive than isolates sampled at a more southern latitude (Prakash &amp; Thielges, 1987).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into the southern hemisphere also resulted in its hybridization with the Eurasian poplar rust fungus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which was also introduced, resulting in the hybrid taxon </w:t>
      </w:r>
      <w:r>
        <w:rPr>
          <w:rFonts w:ascii="Calibri" w:hAnsi="Calibri" w:eastAsia="Calibri" w:cs="Calibri"/>
          <w:i/>
          <w:iCs/>
          <w:color w:val="000000"/>
          <w:sz w:val="22"/>
          <w:szCs w:val="22"/>
        </w:rPr>
        <w:t xml:space="preserve">M.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medusae-populina</w:t>
      </w:r>
      <w:r>
        <w:rPr>
          <w:rFonts w:ascii="Calibri" w:hAnsi="Calibri" w:eastAsia="Calibri" w:cs="Calibri"/>
          <w:color w:val="000000"/>
          <w:sz w:val="22"/>
          <w:szCs w:val="22"/>
        </w:rPr>
        <w:t xml:space="preserve"> (Spiers &amp; Hopcroft, 1994;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upon its introduction in the Pacific Northwest of the USA,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hybridized with the native rust fungus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resulting in the hybrid taxon </w:t>
      </w:r>
      <w:r>
        <w:rPr>
          <w:rFonts w:ascii="Calibri" w:hAnsi="Calibri" w:eastAsia="Calibri" w:cs="Calibri"/>
          <w:i/>
          <w:iCs/>
          <w:color w:val="000000"/>
          <w:sz w:val="22"/>
          <w:szCs w:val="22"/>
        </w:rPr>
        <w:t xml:space="preserve">M.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columbiana</w:t>
      </w:r>
      <w:r>
        <w:rPr>
          <w:rFonts w:ascii="Calibri" w:hAnsi="Calibri" w:eastAsia="Calibri" w:cs="Calibri"/>
          <w:color w:val="000000"/>
          <w:sz w:val="22"/>
          <w:szCs w:val="22"/>
        </w:rPr>
        <w:t xml:space="preserve"> (Newcombe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Populus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symptoms of infection are yellow uredinia, which appear 1-2 weeks after infection on the underside of the leaves (or both sides, in heavy infections). Lower leaves are affected first and then infection spreads over the whole tree; the leaves desiccate and fall prematurely. Trees may be stripped of all foliage within 3 weeks. Similar symptoms may be caused by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 laricis-populina, M. allii-populina</w:t>
      </w:r>
      <w:r>
        <w:rPr>
          <w:rFonts w:ascii="Calibri" w:hAnsi="Calibri" w:eastAsia="Calibri" w:cs="Calibri"/>
          <w:color w:val="000000"/>
          <w:sz w:val="22"/>
          <w:szCs w:val="22"/>
        </w:rPr>
        <w:t xml:space="preserve">) which are widespread on poplars in Europe.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conifers</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conifer-alternating poplar rusts, the impact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on its aecial host is much lower than on the telial host. The current year's needles become discoloured and necrotic and bear pycnia and aecia. The infected needles die and fall.</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Ziller (1955), Hepting (1971), McMillan (1972), Walker &amp; Hartigan (1972), Sharma &amp; Heather (1977),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size measurements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urediniospores are not sufficient for positive identification. However, the presence of smooth (non-echinulate) patches at the equator of urediniospores is a highly diagnostic feature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since no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infecting poplar shares this feature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Therefore, morphological diagnosis is quite straightforward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it remains time-consuming, especially for detecting a small amount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urediniospores in a mixture with those of other more abundant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which would be likely to be the case in Europe (EPPO Diagnostic Protocol PM 7/93). However, the two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cannot be distinguished with morphology since they share grossly identical morphological features and can only be distinguished according to their respective host range, or using a DNA-based method (see below).</w:t>
      </w:r>
    </w:p>
    <w:p>
      <w:pPr>
        <w:widowControl w:val="on"/>
        <w:pBdr/>
        <w:spacing w:before="220" w:after="220" w:line="240" w:lineRule="auto"/>
        <w:ind w:left="0" w:right="0"/>
        <w:jc w:val="both"/>
      </w:pPr>
      <w:r>
        <w:rPr>
          <w:rFonts w:ascii="Calibri" w:hAnsi="Calibri" w:eastAsia="Calibri" w:cs="Calibri"/>
          <w:color w:val="000000"/>
          <w:sz w:val="22"/>
          <w:szCs w:val="22"/>
        </w:rPr>
        <w:t xml:space="preserve">Aeciospores are 16-21 x 19-26 µm, with wall bilaterally thickened (3-4 µm) on opposite sides. Urediniospores are ellipsoid or obovoid, with wall bilaterally thickened, and with smooth areas at the equator; the smooth areas are best seen when spores are trapped in air bubbles; therefore, when making mounts, the cover slip should be dropped on quickly to include as many bubbles as possible; use x40 objective and x10 eye-piece; varying size measurements are reported: 26-35 x 15-19 µm; 22-36 x 13-21 µm. This variability may result from the fact that urediniospores of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are larger than those of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(Shain, 1988). Teliospores 10-15 x 29-45 µm, with wall evenly thick; however, their diagnostic value is too uncertain to be of use.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Diagnostic Protocol PM 7/93 (under revision), Kraayenoord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Ziller (1974), Shain (1988),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DNA-based identification and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difficulties (i) to detect small amounts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when mixed with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and (ii) to distinguish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at the aecial stage prompted the development of several molecular identification and detection methods. Husson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developed a series of PCR primers targeting the ITS (Internal Transcribed Spacer) region of the rDNA to detect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 M. laricis-populina,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allii-populina</w:t>
      </w:r>
      <w:r>
        <w:rPr>
          <w:rFonts w:ascii="Calibri" w:hAnsi="Calibri" w:eastAsia="Calibri" w:cs="Calibri"/>
          <w:color w:val="000000"/>
          <w:sz w:val="22"/>
          <w:szCs w:val="22"/>
        </w:rPr>
        <w:t xml:space="preserve">. This method is species-specific, highly sensitive, and detects also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However the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-specific primers cross-react with two species infecting aspens, </w:t>
      </w:r>
      <w:r>
        <w:rPr>
          <w:rFonts w:ascii="Calibri" w:hAnsi="Calibri" w:eastAsia="Calibri" w:cs="Calibri"/>
          <w:i/>
          <w:iCs/>
          <w:color w:val="000000"/>
          <w:sz w:val="22"/>
          <w:szCs w:val="22"/>
        </w:rPr>
        <w:t xml:space="preserve">M. laricis-tremulae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pinitorqua</w:t>
      </w:r>
      <w:r>
        <w:rPr>
          <w:rFonts w:ascii="Calibri" w:hAnsi="Calibri" w:eastAsia="Calibri" w:cs="Calibri"/>
          <w:color w:val="000000"/>
          <w:sz w:val="22"/>
          <w:szCs w:val="22"/>
        </w:rPr>
        <w:t xml:space="preserve">. Boutigny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developed a real-time PCR method also targeting the ITS region, which is highly specific for </w:t>
      </w:r>
      <w:r>
        <w:rPr>
          <w:rFonts w:ascii="Calibri" w:hAnsi="Calibri" w:eastAsia="Calibri" w:cs="Calibri"/>
          <w:i/>
          <w:iCs/>
          <w:color w:val="000000"/>
          <w:sz w:val="22"/>
          <w:szCs w:val="22"/>
        </w:rPr>
        <w:t xml:space="preserve">M. medusae sensu lato</w:t>
      </w:r>
      <w:r>
        <w:rPr>
          <w:rFonts w:ascii="Calibri" w:hAnsi="Calibri" w:eastAsia="Calibri" w:cs="Calibri"/>
          <w:color w:val="000000"/>
          <w:sz w:val="22"/>
          <w:szCs w:val="22"/>
        </w:rPr>
        <w:t xml:space="preserve"> and highly sensitive. Boutigny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also developed a second real-time PCR method targeting the large ribosomal RNA subunit (28S), which is highly specific for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and does not cross-react with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nor with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In addition, two real-time PCR tests specific for </w:t>
      </w:r>
      <w:r>
        <w:rPr>
          <w:rFonts w:ascii="Calibri" w:hAnsi="Calibri" w:eastAsia="Calibri" w:cs="Calibri"/>
          <w:i/>
          <w:iCs/>
          <w:color w:val="000000"/>
          <w:sz w:val="22"/>
          <w:szCs w:val="22"/>
        </w:rPr>
        <w:t xml:space="preserve">M. medusae sensu lato</w:t>
      </w:r>
      <w:r>
        <w:rPr>
          <w:rFonts w:ascii="Calibri" w:hAnsi="Calibri" w:eastAsia="Calibri" w:cs="Calibri"/>
          <w:color w:val="000000"/>
          <w:sz w:val="22"/>
          <w:szCs w:val="22"/>
        </w:rPr>
        <w:t xml:space="preserve"> were developed through whole-genome comparison (Bergeron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has a high potential for natural spread. Urediniospores of the pathogen can be spread by wind over long distances. Many examples of aerial long-distance dispersal of rust spores across and even between continents have been documented (Brown &amp; Hovmoller, 2002). For instance, Nagarajan &amp; Singh (1990) stated that urediniospores of rust fungi, once they reach an altitude of 1.5-2.0 km, can spread a disease transatlantically and quoted the spread of coffee leaf rust, </w:t>
      </w:r>
      <w:r>
        <w:rPr>
          <w:rFonts w:ascii="Calibri" w:hAnsi="Calibri" w:eastAsia="Calibri" w:cs="Calibri"/>
          <w:i/>
          <w:iCs/>
          <w:color w:val="000000"/>
          <w:sz w:val="22"/>
          <w:szCs w:val="22"/>
        </w:rPr>
        <w:t xml:space="preserve">Hemileia vastatrix</w:t>
      </w:r>
      <w:r>
        <w:rPr>
          <w:rFonts w:ascii="Calibri" w:hAnsi="Calibri" w:eastAsia="Calibri" w:cs="Calibri"/>
          <w:color w:val="000000"/>
          <w:sz w:val="22"/>
          <w:szCs w:val="22"/>
        </w:rPr>
        <w:t xml:space="preserve">, from Angola to Brazil in 1966 as an example of this wind-borne transatlantic spread of rust fungi. Similarly, the dispersal pathway of the emerging Ug99 lineage of the wheat stem rust fungus </w:t>
      </w:r>
      <w:r>
        <w:rPr>
          <w:rFonts w:ascii="Calibri" w:hAnsi="Calibri" w:eastAsia="Calibri" w:cs="Calibri"/>
          <w:i/>
          <w:iCs/>
          <w:color w:val="000000"/>
          <w:sz w:val="22"/>
          <w:szCs w:val="22"/>
        </w:rPr>
        <w:t xml:space="preserve">Puccinia graminis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tritici</w:t>
      </w:r>
      <w:r>
        <w:rPr>
          <w:rFonts w:ascii="Calibri" w:hAnsi="Calibri" w:eastAsia="Calibri" w:cs="Calibri"/>
          <w:color w:val="000000"/>
          <w:sz w:val="22"/>
          <w:szCs w:val="22"/>
        </w:rPr>
        <w:t xml:space="preserve"> from East Africa to Central Asia was modeled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airborne spread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been reported regarding the introduction of the fungus into New Zealand in 1973. From Australia, where the pathogen had been first recorded in 1972, the fungus spread 2000 km by wind to the islands of New Zealand where it was detected in March 1973 (Wilkinson &amp; Spiers, 1976). High correlations were calculated between the wind patterns in this area and the infected sites in Australia and the newly detected infestation sites in New Zealand (Brown, 1984).</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pathogen can also be spread on infected planting material of the various hosts, including on cuttings. In addition, it could also be theoretically spread on cut branches, although it is not known if such international trade exists.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damage by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results from premature leaf drop and loss of vigour in young susceptible poplars. In New South Wales, Australia, the disease spread over 1200 ha in 6 weeks (Walker &amp; Hartigan, 1972). The disease was very damaging in both Australia and New Zealand in the 1970s, where poplar has been introduced into a new environment. However, in eastern Canada where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native, extensive damage has also been reported on poplars in nurseries and plantations as well as in natural forests.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deltoidis</w:t>
      </w:r>
      <w:r>
        <w:rPr>
          <w:rFonts w:ascii="Calibri" w:hAnsi="Calibri" w:eastAsia="Calibri" w:cs="Calibri"/>
          <w:color w:val="000000"/>
          <w:sz w:val="22"/>
          <w:szCs w:val="22"/>
        </w:rPr>
        <w:t xml:space="preserve"> has been reported in southwestern France at sporadic intervals for more than 50 years but is rare and of no economic significance (Pinon &amp; Frey, 2005;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may be due to environmental factors which seem to limit its spread, probably because of overwintering problems, host alternation and/or ecological constraints (Pinon, 1986). It should be recalled that the other European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cause very similar symptoms and damage in European poplar plantations, and have been, up till now, of much greater significance (Pinon &amp; Frey,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spread rapidly in Australia and New Zealand and this emphasizes the potential threat to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The susceptibility and uniformity of the poplar stands encountered may facilitate spread.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Some resistant poplar cultivars are available and can be indirectly selected for resistance by the number and rate of closure of the stomata (Siwecky, 1974). Prakesh &amp; Heather (1989) reported on the partial resistance of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clones against two races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but also stressed the need to maintain a wide host diversity to manage the disease.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very damaging in part of its range, and susceptible poplars (e.g.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important tree species in the EPPO region, both for wood production and for ecosystems services. The isolates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currently present in Europe do not seem aggressive and have had no tendency to spread over many decades; as such, they present little risk to other European countries. However, there is a risk that one of the known aggressive isolates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may be introduced into the EPPO region, which could then cause serious losses, particularly in areas with a mild winter where no alternate host is required. Moreover,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has been shown to be able to hybridize with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thus leading to the emergence of new fungal pathogen taxa and novel host‐pathogen associations.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has only been recorded on the American aspen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a species which is only occasionally used as an ornamental in the EPPO region and is therefore a lower risk than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of plants for planting of conifers, 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with leaves, is prohibited in many EPPO countries (e.g. the EU,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To limit the risk of introduction of the rust via infected plant material, plants for planting (other than seeds) and cut branches (including Christmas trees)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should have been grown in a pest free area for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or in a place of production which has been confirmed free from the rust during the preceding growing period (EPPO Standard PM 8/2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EPPO Standard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may be noted that the EU has recently revised the quarantine status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and now only regulates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as a quarantine pest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e0210952. </w:t>
      </w:r>
    </w:p>
    <w:p>
      <w:pPr>
        <w:widowControl w:val="on"/>
        <w:pBdr/>
        <w:spacing w:before="220" w:after="220" w:line="240" w:lineRule="auto"/>
        <w:ind w:left="0" w:right="0"/>
        <w:jc w:val="left"/>
      </w:pPr>
      <w:r>
        <w:rPr>
          <w:rFonts w:ascii="Calibri" w:hAnsi="Calibri" w:eastAsia="Calibri" w:cs="Calibri"/>
          <w:color w:val="000000"/>
          <w:sz w:val="22"/>
          <w:szCs w:val="22"/>
        </w:rPr>
        <w:t xml:space="preserve">Bourassa M, Bernier L, Hamelin RC (2007) Genetic diversity in poplar leaf rust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w:t>
      </w:r>
      <w:r>
        <w:rPr>
          <w:rFonts w:ascii="Calibri" w:hAnsi="Calibri" w:eastAsia="Calibri" w:cs="Calibri"/>
          <w:color w:val="000000"/>
          <w:sz w:val="22"/>
          <w:szCs w:val="22"/>
        </w:rPr>
        <w:t xml:space="preserve">) in the zones of host sympatry and allopatry.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603-610.</w:t>
      </w:r>
    </w:p>
    <w:p>
      <w:pPr>
        <w:widowControl w:val="on"/>
        <w:pBdr/>
        <w:spacing w:before="220" w:after="220" w:line="240" w:lineRule="auto"/>
        <w:ind w:left="0" w:right="0"/>
        <w:jc w:val="left"/>
      </w:pPr>
      <w:r>
        <w:rPr>
          <w:rFonts w:ascii="Calibri" w:hAnsi="Calibri" w:eastAsia="Calibri" w:cs="Calibri"/>
          <w:color w:val="000000"/>
          <w:sz w:val="22"/>
          <w:szCs w:val="22"/>
        </w:rPr>
        <w:t xml:space="preserve">Boutigny A-L, Guinet C, Vialle A, Hamelin R, Frey P, Ioos R (2013a) A sensitive real-time PCR assay for the detection of the two </w:t>
      </w:r>
      <w:r>
        <w:rPr>
          <w:rFonts w:ascii="Calibri" w:hAnsi="Calibri" w:eastAsia="Calibri" w:cs="Calibri"/>
          <w:i/>
          <w:iCs/>
          <w:color w:val="000000"/>
          <w:sz w:val="22"/>
          <w:szCs w:val="22"/>
        </w:rPr>
        <w:t xml:space="preserve">Melampsora medusae formae speciales</w:t>
      </w:r>
      <w:r>
        <w:rPr>
          <w:rFonts w:ascii="Calibri" w:hAnsi="Calibri" w:eastAsia="Calibri" w:cs="Calibri"/>
          <w:color w:val="000000"/>
          <w:sz w:val="22"/>
          <w:szCs w:val="22"/>
        </w:rPr>
        <w:t xml:space="preserve"> on infected poplar leaves.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433-441. </w:t>
      </w:r>
    </w:p>
    <w:p>
      <w:pPr>
        <w:widowControl w:val="on"/>
        <w:pBdr/>
        <w:spacing w:before="220" w:after="220" w:line="240" w:lineRule="auto"/>
        <w:ind w:left="0" w:right="0"/>
        <w:jc w:val="left"/>
      </w:pPr>
      <w:r>
        <w:rPr>
          <w:rFonts w:ascii="Calibri" w:hAnsi="Calibri" w:eastAsia="Calibri" w:cs="Calibri"/>
          <w:color w:val="000000"/>
          <w:sz w:val="22"/>
          <w:szCs w:val="22"/>
        </w:rPr>
        <w:t xml:space="preserve">Boutigny A-L, Guinet C, Vialle A, Hamelin RC, Andrieux A, Frey P, Husson C, Ioos R (2013b) Optimization of a real-time PCR assay for the detection of the quarantine pathogen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389-398.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JS (1984) Recent invasions of Australia and New Zealand by pathogenic fungi and counter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417-428.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JKM, Hovmoller MS (2002) Aerial dispersal of pathogens on the global and continental scales and its impact on plant disease.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297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Desprez-Loustau M-L, Robin C, Reynaud G, Déqué M, Badeau V, Piou D, Husson C, Marçais B (2007) Simulating the effects of a climate-change scenario on the geographical range and activity of forest-pathogenic fungi.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101-120. </w:t>
      </w:r>
    </w:p>
    <w:p>
      <w:pPr>
        <w:widowControl w:val="on"/>
        <w:pBdr/>
        <w:spacing w:before="220" w:after="220" w:line="240" w:lineRule="auto"/>
        <w:ind w:left="0" w:right="0"/>
        <w:jc w:val="left"/>
      </w:pPr>
      <w:r>
        <w:rPr>
          <w:rFonts w:ascii="Calibri" w:hAnsi="Calibri" w:eastAsia="Calibri" w:cs="Calibri"/>
          <w:color w:val="000000"/>
          <w:sz w:val="22"/>
          <w:szCs w:val="22"/>
        </w:rPr>
        <w:t xml:space="preserve">Dupias G (1965) Les rouilles des peupliers dans les Pyrénées et le bassin sous-pyrénéen. </w:t>
      </w:r>
      <w:r>
        <w:rPr>
          <w:rFonts w:ascii="Calibri" w:hAnsi="Calibri" w:eastAsia="Calibri" w:cs="Calibri"/>
          <w:i/>
          <w:iCs/>
          <w:color w:val="000000"/>
          <w:sz w:val="22"/>
          <w:szCs w:val="22"/>
        </w:rPr>
        <w:t xml:space="preserve">Bulletin de la Société Mycologique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7/93 Diagnostic protocol for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(under revision).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27726a45e6885677d" w:history="1">
        <w:r>
          <w:rPr>
            <w:rFonts w:ascii="Calibri" w:hAnsi="Calibri" w:eastAsia="Calibri" w:cs="Calibri"/>
            <w:color w:val="0000CC"/>
            <w:sz w:val="22"/>
            <w:szCs w:val="22"/>
            <w:u w:val="single"/>
          </w:rPr>
          <w:t xml:space="preserve">https://gd.eppo.int/taxon/MELMME/documents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8/2 Commodity-speciﬁc phytosanitary measures for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Available at </w:t>
      </w:r>
      <w:hyperlink r:id="rId93776a45e688567e0"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8/7 Commodity-speciﬁc phytosanitary measures for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Available at </w:t>
      </w:r>
      <w:hyperlink r:id="rId30876a45e68856831"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hyperlink r:id="rId19536a45e68856865"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Fragoso RG (1925) Flora Iberica. II. Uredinales. Museo Nacional de Ciencias Naturales, Madrid, pp. 198–199.</w:t>
      </w:r>
    </w:p>
    <w:p>
      <w:pPr>
        <w:widowControl w:val="on"/>
        <w:pBdr/>
        <w:spacing w:before="220" w:after="220" w:line="240" w:lineRule="auto"/>
        <w:ind w:left="0" w:right="0"/>
        <w:jc w:val="left"/>
      </w:pPr>
      <w:r>
        <w:rPr>
          <w:rFonts w:ascii="Calibri" w:hAnsi="Calibri" w:eastAsia="Calibri" w:cs="Calibri"/>
          <w:color w:val="000000"/>
          <w:sz w:val="22"/>
          <w:szCs w:val="22"/>
        </w:rPr>
        <w:t xml:space="preserve">Frey P, Gérard P, Feau N, Husson C, Pinon J (2005) Variability and population biology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rusts on poplars, in </w:t>
      </w:r>
      <w:r>
        <w:rPr>
          <w:rFonts w:ascii="Calibri" w:hAnsi="Calibri" w:eastAsia="Calibri" w:cs="Calibri"/>
          <w:i/>
          <w:iCs/>
          <w:color w:val="000000"/>
          <w:sz w:val="22"/>
          <w:szCs w:val="22"/>
        </w:rPr>
        <w:t xml:space="preserve">Rust diseases of willow and poplar,</w:t>
      </w:r>
      <w:r>
        <w:rPr>
          <w:rFonts w:ascii="Calibri" w:hAnsi="Calibri" w:eastAsia="Calibri" w:cs="Calibri"/>
          <w:color w:val="000000"/>
          <w:sz w:val="22"/>
          <w:szCs w:val="22"/>
        </w:rPr>
        <w:t xml:space="preserve"> eds. MH Pei &amp; AR McCracken.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Wallingford, UK, CAB International, 63-72.</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w:t>
      </w:r>
      <w:r>
        <w:rPr>
          <w:rFonts w:ascii="Calibri" w:hAnsi="Calibri" w:eastAsia="Calibri" w:cs="Calibri"/>
          <w:color w:val="000000"/>
          <w:sz w:val="22"/>
          <w:szCs w:val="22"/>
        </w:rPr>
        <w:t xml:space="preserve"> No. 386, pp. 209, 212, 299, 382, 387. Forest Service, US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(1939) Miscellaneous notes on the East Asiatic Uredinales with special reference to the Japanese species (VI). </w:t>
      </w:r>
      <w:r>
        <w:rPr>
          <w:rFonts w:ascii="Calibri" w:hAnsi="Calibri" w:eastAsia="Calibri" w:cs="Calibri"/>
          <w:i/>
          <w:iCs/>
          <w:color w:val="000000"/>
          <w:sz w:val="22"/>
          <w:szCs w:val="22"/>
        </w:rPr>
        <w:t xml:space="preserve">Journal of Japanese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621-627.</w:t>
      </w:r>
    </w:p>
    <w:p>
      <w:pPr>
        <w:widowControl w:val="on"/>
        <w:pBdr/>
        <w:spacing w:before="220" w:after="220" w:line="240" w:lineRule="auto"/>
        <w:ind w:left="0" w:right="0"/>
        <w:jc w:val="left"/>
      </w:pPr>
      <w:r>
        <w:rPr>
          <w:rFonts w:ascii="Calibri" w:hAnsi="Calibri" w:eastAsia="Calibri" w:cs="Calibri"/>
          <w:color w:val="000000"/>
          <w:sz w:val="22"/>
          <w:szCs w:val="22"/>
        </w:rPr>
        <w:t xml:space="preserve">Husson C, Ioos R, Andrieux A, Frey P (2013) Development and use of new sensitive molecular tools for diagnosis and detection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rusts on cultivated poplar.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1-11.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Grégoire JC, Jaques Miret JA, Macleod A, Navajas Navarro M, Niere B, Parnell S, Potting R, Rafoss T, Rossi V, Urek G, Van Bruggen A, Van Der Werf W, West J, Winter S, Boberg J, Gonthier P, Pautasso M (2018) Pest categorisation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5354. 28 pp. </w:t>
      </w:r>
      <w:hyperlink r:id="rId65806a45e68856ab3" w:history="1">
        <w:r>
          <w:rPr>
            <w:rFonts w:ascii="Calibri" w:hAnsi="Calibri" w:eastAsia="Calibri" w:cs="Calibri"/>
            <w:color w:val="0000CC"/>
            <w:sz w:val="22"/>
            <w:szCs w:val="22"/>
            <w:u w:val="single"/>
          </w:rPr>
          <w:t xml:space="preserve">https://doi.org/10.2903/j.efsa.2018.5354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Kraayenoord CWS van, Laudon GF, Spies AG (1974) Poplar rusts invade New Zealand.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423-427.</w:t>
      </w:r>
    </w:p>
    <w:p>
      <w:pPr>
        <w:widowControl w:val="on"/>
        <w:pBdr/>
        <w:spacing w:before="220" w:after="220" w:line="240" w:lineRule="auto"/>
        <w:ind w:left="0" w:right="0"/>
        <w:jc w:val="left"/>
      </w:pPr>
      <w:r>
        <w:rPr>
          <w:rFonts w:ascii="Calibri" w:hAnsi="Calibri" w:eastAsia="Calibri" w:cs="Calibri"/>
          <w:color w:val="000000"/>
          <w:sz w:val="22"/>
          <w:szCs w:val="22"/>
        </w:rPr>
        <w:t xml:space="preserve">McBride RP (1965) A microbiological control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711-715.</w:t>
      </w:r>
    </w:p>
    <w:p>
      <w:pPr>
        <w:widowControl w:val="on"/>
        <w:pBdr/>
        <w:spacing w:before="220" w:after="220" w:line="240" w:lineRule="auto"/>
        <w:ind w:left="0" w:right="0"/>
        <w:jc w:val="left"/>
      </w:pPr>
      <w:r>
        <w:rPr>
          <w:rFonts w:ascii="Calibri" w:hAnsi="Calibri" w:eastAsia="Calibri" w:cs="Calibri"/>
          <w:color w:val="000000"/>
          <w:sz w:val="22"/>
          <w:szCs w:val="22"/>
        </w:rPr>
        <w:t xml:space="preserve">McMillan R (1972) Poplar leaf rust hazard. </w:t>
      </w:r>
      <w:r>
        <w:rPr>
          <w:rFonts w:ascii="Calibri" w:hAnsi="Calibri" w:eastAsia="Calibri" w:cs="Calibri"/>
          <w:i/>
          <w:iCs/>
          <w:color w:val="000000"/>
          <w:sz w:val="22"/>
          <w:szCs w:val="22"/>
        </w:rPr>
        <w:t xml:space="preserve">New Zealand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47.</w:t>
      </w:r>
    </w:p>
    <w:p>
      <w:pPr>
        <w:widowControl w:val="on"/>
        <w:pBdr/>
        <w:spacing w:before="220" w:after="220" w:line="240" w:lineRule="auto"/>
        <w:ind w:left="0" w:right="0"/>
        <w:jc w:val="left"/>
      </w:pPr>
      <w:r>
        <w:rPr>
          <w:rFonts w:ascii="Calibri" w:hAnsi="Calibri" w:eastAsia="Calibri" w:cs="Calibri"/>
          <w:color w:val="000000"/>
          <w:sz w:val="22"/>
          <w:szCs w:val="22"/>
        </w:rPr>
        <w:t xml:space="preserve">Meyer M, Cox JA, Hitchings MDT, Burgin L, Hort MC, Hodson DP, Gilligan CA (2017) Quantifying airborne dispersal routes of pathogens over continents to safeguard global wheat supply.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780-786.</w:t>
      </w:r>
    </w:p>
    <w:p>
      <w:pPr>
        <w:widowControl w:val="on"/>
        <w:pBdr/>
        <w:spacing w:before="220" w:after="220" w:line="240" w:lineRule="auto"/>
        <w:ind w:left="0" w:right="0"/>
        <w:jc w:val="left"/>
      </w:pPr>
      <w:r>
        <w:rPr>
          <w:rFonts w:ascii="Calibri" w:hAnsi="Calibri" w:eastAsia="Calibri" w:cs="Calibri"/>
          <w:color w:val="000000"/>
          <w:sz w:val="22"/>
          <w:szCs w:val="22"/>
        </w:rPr>
        <w:t xml:space="preserve">Molnar AC, Sivak B (1964)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infection of pine in British Columbia.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145-158.</w:t>
      </w:r>
    </w:p>
    <w:p>
      <w:pPr>
        <w:widowControl w:val="on"/>
        <w:pBdr/>
        <w:spacing w:before="220" w:after="220" w:line="240" w:lineRule="auto"/>
        <w:ind w:left="0" w:right="0"/>
        <w:jc w:val="left"/>
      </w:pPr>
      <w:r>
        <w:rPr>
          <w:rFonts w:ascii="Calibri" w:hAnsi="Calibri" w:eastAsia="Calibri" w:cs="Calibri"/>
          <w:color w:val="000000"/>
          <w:sz w:val="22"/>
          <w:szCs w:val="22"/>
        </w:rPr>
        <w:t xml:space="preserve">Nagarajan, S.; Singh, D.V. (1990) Long-distance dispersion of rust pathogens. </w:t>
      </w:r>
      <w:r>
        <w:rPr>
          <w:rFonts w:ascii="Calibri" w:hAnsi="Calibri" w:eastAsia="Calibri" w:cs="Calibri"/>
          <w:i/>
          <w:iCs/>
          <w:color w:val="000000"/>
          <w:sz w:val="22"/>
          <w:szCs w:val="22"/>
        </w:rPr>
        <w:t xml:space="preserve">Annual Review of Plant Pathology</w:t>
      </w:r>
      <w:r>
        <w:rPr>
          <w:rFonts w:ascii="Calibri" w:hAnsi="Calibri" w:eastAsia="Calibri" w:cs="Calibri"/>
          <w:color w:val="000000"/>
          <w:sz w:val="22"/>
          <w:szCs w:val="22"/>
        </w:rPr>
        <w:t xml:space="preserve"> 28, 139-153.</w:t>
      </w:r>
    </w:p>
    <w:p>
      <w:pPr>
        <w:widowControl w:val="on"/>
        <w:pBdr/>
        <w:spacing w:before="220" w:after="220" w:line="240" w:lineRule="auto"/>
        <w:ind w:left="0" w:right="0"/>
        <w:jc w:val="left"/>
      </w:pPr>
      <w:r>
        <w:rPr>
          <w:rFonts w:ascii="Calibri" w:hAnsi="Calibri" w:eastAsia="Calibri" w:cs="Calibri"/>
          <w:color w:val="000000"/>
          <w:sz w:val="22"/>
          <w:szCs w:val="22"/>
        </w:rPr>
        <w:t xml:space="preserve">Newcombe G, Stirling B, Bradshaw HD (2001) Abundant pathogenic variation in the new hybrid rust</w:t>
      </w:r>
      <w:r>
        <w:rPr>
          <w:rFonts w:ascii="Calibri" w:hAnsi="Calibri" w:eastAsia="Calibri" w:cs="Calibri"/>
          <w:i/>
          <w:iCs/>
          <w:color w:val="000000"/>
          <w:sz w:val="22"/>
          <w:szCs w:val="22"/>
        </w:rPr>
        <w:t xml:space="preserve"> Melampsora x columbiana</w:t>
      </w:r>
      <w:r>
        <w:rPr>
          <w:rFonts w:ascii="Calibri" w:hAnsi="Calibri" w:eastAsia="Calibri" w:cs="Calibri"/>
          <w:color w:val="000000"/>
          <w:sz w:val="22"/>
          <w:szCs w:val="22"/>
        </w:rPr>
        <w:t xml:space="preserve"> on hybrid poplar.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981-985. </w:t>
      </w:r>
    </w:p>
    <w:p>
      <w:pPr>
        <w:widowControl w:val="on"/>
        <w:pBdr/>
        <w:spacing w:before="220" w:after="220" w:line="240" w:lineRule="auto"/>
        <w:ind w:left="0" w:right="0"/>
        <w:jc w:val="left"/>
      </w:pPr>
      <w:r>
        <w:rPr>
          <w:rFonts w:ascii="Calibri" w:hAnsi="Calibri" w:eastAsia="Calibri" w:cs="Calibri"/>
          <w:color w:val="000000"/>
          <w:sz w:val="22"/>
          <w:szCs w:val="22"/>
        </w:rPr>
        <w:t xml:space="preserve">Newcombe G, Stirling B, McDonald S, Bradshaw HD (2000) </w:t>
      </w:r>
      <w:r>
        <w:rPr>
          <w:rFonts w:ascii="Calibri" w:hAnsi="Calibri" w:eastAsia="Calibri" w:cs="Calibri"/>
          <w:i/>
          <w:iCs/>
          <w:color w:val="000000"/>
          <w:sz w:val="22"/>
          <w:szCs w:val="22"/>
        </w:rPr>
        <w:t xml:space="preserve">Melampsora x columbiana</w:t>
      </w:r>
      <w:r>
        <w:rPr>
          <w:rFonts w:ascii="Calibri" w:hAnsi="Calibri" w:eastAsia="Calibri" w:cs="Calibri"/>
          <w:color w:val="000000"/>
          <w:sz w:val="22"/>
          <w:szCs w:val="22"/>
        </w:rPr>
        <w:t xml:space="preserve">, a natural hybrid of</w:t>
      </w:r>
      <w:r>
        <w:rPr>
          <w:rFonts w:ascii="Calibri" w:hAnsi="Calibri" w:eastAsia="Calibri" w:cs="Calibri"/>
          <w:i/>
          <w:iCs/>
          <w:color w:val="000000"/>
          <w:sz w:val="22"/>
          <w:szCs w:val="22"/>
        </w:rPr>
        <w:t xml:space="preserve"> M. medusae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261-274. </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(1986) Situation de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547-551.</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Frey P (2005) Interactions between poplar clones and Melampsora populations and their implications for breeding for durable resistance, in </w:t>
      </w:r>
      <w:r>
        <w:rPr>
          <w:rFonts w:ascii="Calibri" w:hAnsi="Calibri" w:eastAsia="Calibri" w:cs="Calibri"/>
          <w:i/>
          <w:iCs/>
          <w:color w:val="000000"/>
          <w:sz w:val="22"/>
          <w:szCs w:val="22"/>
        </w:rPr>
        <w:t xml:space="preserve">Rust diseases of willow and poplar,</w:t>
      </w:r>
      <w:r>
        <w:rPr>
          <w:rFonts w:ascii="Calibri" w:hAnsi="Calibri" w:eastAsia="Calibri" w:cs="Calibri"/>
          <w:color w:val="000000"/>
          <w:sz w:val="22"/>
          <w:szCs w:val="22"/>
        </w:rPr>
        <w:t xml:space="preserve"> eds. M.H. Pei &amp; A.R. McCracken.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Wallingford, UK, CAB International, 139-154.</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Heather WA (1985) Adaption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to increasing temperature and light intensities on a clone of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834-841.</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Heather WA (1989) Inheritance of partial resistance to two races of leaf rust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in eastern cottonwood,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Silvae 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90-94.</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Thielges BA (1987) Pathogenic variation in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leaf rust of poplars.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563-570.</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Thielges BA (1989) Interaction of geographic isolates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effect of temperature.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486-490.</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Lyon HH (2005)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Comstock Publishing Associates.</w:t>
      </w:r>
    </w:p>
    <w:p>
      <w:pPr>
        <w:widowControl w:val="on"/>
        <w:pBdr/>
        <w:spacing w:before="220" w:after="220" w:line="240" w:lineRule="auto"/>
        <w:ind w:left="0" w:right="0"/>
        <w:jc w:val="left"/>
      </w:pPr>
      <w:r>
        <w:rPr>
          <w:rFonts w:ascii="Calibri" w:hAnsi="Calibri" w:eastAsia="Calibri" w:cs="Calibri"/>
          <w:color w:val="000000"/>
          <w:sz w:val="22"/>
          <w:szCs w:val="22"/>
        </w:rPr>
        <w:t xml:space="preserve">Schipper AL, Dawson DH (1974) Poplar leaf rust - a problem in maximum wood production.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721-723.</w:t>
      </w:r>
    </w:p>
    <w:p>
      <w:pPr>
        <w:widowControl w:val="on"/>
        <w:pBdr/>
        <w:spacing w:before="220" w:after="220" w:line="240" w:lineRule="auto"/>
        <w:ind w:left="0" w:right="0"/>
        <w:jc w:val="left"/>
      </w:pPr>
      <w:r>
        <w:rPr>
          <w:rFonts w:ascii="Calibri" w:hAnsi="Calibri" w:eastAsia="Calibri" w:cs="Calibri"/>
          <w:color w:val="000000"/>
          <w:sz w:val="22"/>
          <w:szCs w:val="22"/>
        </w:rPr>
        <w:t xml:space="preserve">Shain L (1988) Evidence for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in poplar leaf rust fungus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729-732.</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JK, Heather WA (1976) Physiologic specialization in poplar leaf rusts,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Thum. and </w:t>
      </w:r>
      <w:r>
        <w:rPr>
          <w:rFonts w:ascii="Calibri" w:hAnsi="Calibri" w:eastAsia="Calibri" w:cs="Calibri"/>
          <w:i/>
          <w:iCs/>
          <w:color w:val="000000"/>
          <w:sz w:val="22"/>
          <w:szCs w:val="22"/>
        </w:rPr>
        <w:t xml:space="preserve">M. larici-populina</w:t>
      </w:r>
      <w:r>
        <w:rPr>
          <w:rFonts w:ascii="Calibri" w:hAnsi="Calibri" w:eastAsia="Calibri" w:cs="Calibri"/>
          <w:color w:val="000000"/>
          <w:sz w:val="22"/>
          <w:szCs w:val="22"/>
        </w:rPr>
        <w:t xml:space="preserve"> Kleb. in Australia</w:t>
      </w:r>
      <w:r>
        <w:rPr>
          <w:rFonts w:ascii="Calibri" w:hAnsi="Calibri" w:eastAsia="Calibri" w:cs="Calibri"/>
          <w:i/>
          <w:iCs/>
          <w:color w:val="000000"/>
          <w:sz w:val="22"/>
          <w:szCs w:val="22"/>
        </w:rPr>
        <w:t xml:space="preserve">. Proc. XIX Session FAO/IPC Working Party on Poplar Diseases. France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JK, Heather WA (1977) Infection of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hickeliana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Thüm.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119-124.</w:t>
      </w:r>
    </w:p>
    <w:p>
      <w:pPr>
        <w:widowControl w:val="on"/>
        <w:pBdr/>
        <w:spacing w:before="220" w:after="220" w:line="240" w:lineRule="auto"/>
        <w:ind w:left="0" w:right="0"/>
        <w:jc w:val="left"/>
      </w:pPr>
      <w:r>
        <w:rPr>
          <w:rFonts w:ascii="Calibri" w:hAnsi="Calibri" w:eastAsia="Calibri" w:cs="Calibri"/>
          <w:color w:val="000000"/>
          <w:sz w:val="22"/>
          <w:szCs w:val="22"/>
        </w:rPr>
        <w:t xml:space="preserve">Siwecky R. (1974) The mechanism of poplar leaf resistance to fungal infection. </w:t>
      </w:r>
      <w:r>
        <w:rPr>
          <w:rFonts w:ascii="Calibri" w:hAnsi="Calibri" w:eastAsia="Calibri" w:cs="Calibri"/>
          <w:i/>
          <w:iCs/>
          <w:color w:val="000000"/>
          <w:sz w:val="22"/>
          <w:szCs w:val="22"/>
        </w:rPr>
        <w:t xml:space="preserve">Polish Academy of Sciences, Annual Report, 1973</w:t>
      </w:r>
      <w:r>
        <w:rPr>
          <w:rFonts w:ascii="Calibri" w:hAnsi="Calibri" w:eastAsia="Calibri" w:cs="Calibri"/>
          <w:color w:val="000000"/>
          <w:sz w:val="22"/>
          <w:szCs w:val="22"/>
        </w:rPr>
        <w:t xml:space="preserve">, 32 pp.</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(1975) Species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infecting conifers in New Zealand.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486-488.</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(1994). Comparative studies of the poplar rusts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larici-populina</w:t>
      </w:r>
      <w:r>
        <w:rPr>
          <w:rFonts w:ascii="Calibri" w:hAnsi="Calibri" w:eastAsia="Calibri" w:cs="Calibri"/>
          <w:color w:val="000000"/>
          <w:sz w:val="22"/>
          <w:szCs w:val="22"/>
        </w:rPr>
        <w:t xml:space="preserve"> and their interspecific hybrid </w:t>
      </w:r>
      <w:r>
        <w:rPr>
          <w:rFonts w:ascii="Calibri" w:hAnsi="Calibri" w:eastAsia="Calibri" w:cs="Calibri"/>
          <w:i/>
          <w:iCs/>
          <w:color w:val="000000"/>
          <w:sz w:val="22"/>
          <w:szCs w:val="22"/>
        </w:rPr>
        <w:t xml:space="preserve">M. medusae-populina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889-903. </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(1985) Ultrastructural studies of pathogenesis and uredinial development of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on poplar and </w:t>
      </w:r>
      <w:r>
        <w:rPr>
          <w:rFonts w:ascii="Calibri" w:hAnsi="Calibri" w:eastAsia="Calibri" w:cs="Calibri"/>
          <w:i/>
          <w:iCs/>
          <w:color w:val="000000"/>
          <w:sz w:val="22"/>
          <w:szCs w:val="22"/>
        </w:rPr>
        <w:t xml:space="preserve">M. coleosporioides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epitea</w:t>
      </w:r>
      <w:r>
        <w:rPr>
          <w:rFonts w:ascii="Calibri" w:hAnsi="Calibri" w:eastAsia="Calibri" w:cs="Calibri"/>
          <w:color w:val="000000"/>
          <w:sz w:val="22"/>
          <w:szCs w:val="22"/>
        </w:rPr>
        <w:t xml:space="preserve"> on willow. </w:t>
      </w:r>
      <w:r>
        <w:rPr>
          <w:rFonts w:ascii="Calibri" w:hAnsi="Calibri" w:eastAsia="Calibri" w:cs="Calibri"/>
          <w:i/>
          <w:iCs/>
          <w:color w:val="000000"/>
          <w:sz w:val="22"/>
          <w:szCs w:val="22"/>
        </w:rPr>
        <w:t xml:space="preserve">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117-133.</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(1988) Penetration and infection of poplar leaves by urediniospores of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Trench TN, Baxter AP, Churchill H (1987) Report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in Southern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761.</w:t>
      </w:r>
    </w:p>
    <w:p>
      <w:pPr>
        <w:widowControl w:val="on"/>
        <w:pBdr/>
        <w:spacing w:before="220" w:after="220" w:line="240" w:lineRule="auto"/>
        <w:ind w:left="0" w:right="0"/>
        <w:jc w:val="left"/>
      </w:pPr>
      <w:r>
        <w:rPr>
          <w:rFonts w:ascii="Calibri" w:hAnsi="Calibri" w:eastAsia="Calibri" w:cs="Calibri"/>
          <w:color w:val="000000"/>
          <w:sz w:val="22"/>
          <w:szCs w:val="22"/>
        </w:rPr>
        <w:t xml:space="preserve">Van Kraayenoord CWS (1984) National report on activities related to poplar and willow cultivation. International Poplar Commission, XVIIth session,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Vialle A, Feau N, Frey P, Bernier L, Hamelin RC (2013) Phylogenetic species recognition reveals host-specific lineages among poplar rust fungi.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628-644. </w:t>
      </w:r>
    </w:p>
    <w:p>
      <w:pPr>
        <w:widowControl w:val="on"/>
        <w:pBdr/>
        <w:spacing w:before="220" w:after="220" w:line="240" w:lineRule="auto"/>
        <w:ind w:left="0" w:right="0"/>
        <w:jc w:val="left"/>
      </w:pPr>
      <w:r>
        <w:rPr>
          <w:rFonts w:ascii="Calibri" w:hAnsi="Calibri" w:eastAsia="Calibri" w:cs="Calibri"/>
          <w:color w:val="000000"/>
          <w:sz w:val="22"/>
          <w:szCs w:val="22"/>
        </w:rPr>
        <w:t xml:space="preserve">Vialle A, Frey P, Hambleton S, Bernier L, Hamelin R (2011) Poplar rust systematics and refinement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delineation.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227-248.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(1975)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480.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Hartigan D, Bertus AL (1974) Poplar rusts in Australia with comments on potential conifer rusts.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100-118.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Hartigan D (1972) Poplar rust in Australia. </w:t>
      </w:r>
      <w:r>
        <w:rPr>
          <w:rFonts w:ascii="Calibri" w:hAnsi="Calibri" w:eastAsia="Calibri" w:cs="Calibri"/>
          <w:i/>
          <w:iCs/>
          <w:color w:val="000000"/>
          <w:sz w:val="22"/>
          <w:szCs w:val="22"/>
        </w:rPr>
        <w:t xml:space="preserve">Australian Plant Pathology Society Newsletter</w:t>
      </w:r>
      <w:r>
        <w:rPr>
          <w:rFonts w:ascii="Calibri" w:hAnsi="Calibri" w:eastAsia="Calibri" w:cs="Calibri"/>
          <w:color w:val="000000"/>
          <w:sz w:val="22"/>
          <w:szCs w:val="22"/>
        </w:rPr>
        <w:t xml:space="preserve"> 1, 3.</w:t>
      </w:r>
    </w:p>
    <w:p>
      <w:pPr>
        <w:widowControl w:val="on"/>
        <w:pBdr/>
        <w:spacing w:before="220" w:after="220" w:line="240" w:lineRule="auto"/>
        <w:ind w:left="0" w:right="0"/>
        <w:jc w:val="left"/>
      </w:pPr>
      <w:r>
        <w:rPr>
          <w:rFonts w:ascii="Calibri" w:hAnsi="Calibri" w:eastAsia="Calibri" w:cs="Calibri"/>
          <w:color w:val="000000"/>
          <w:sz w:val="22"/>
          <w:szCs w:val="22"/>
        </w:rPr>
        <w:t xml:space="preserve">Wilkinson AG, Spiers AG (1976) Introduction of poplar rusts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to New-Zealand and their subsequent distribution. </w:t>
      </w:r>
      <w:r>
        <w:rPr>
          <w:rFonts w:ascii="Calibri" w:hAnsi="Calibri" w:eastAsia="Calibri" w:cs="Calibri"/>
          <w:i/>
          <w:iCs/>
          <w:color w:val="000000"/>
          <w:sz w:val="22"/>
          <w:szCs w:val="22"/>
        </w:rPr>
        <w:t xml:space="preserve">New Zealand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195-198.</w:t>
      </w:r>
    </w:p>
    <w:p>
      <w:pPr>
        <w:widowControl w:val="on"/>
        <w:pBdr/>
        <w:spacing w:before="220" w:after="220" w:line="240" w:lineRule="auto"/>
        <w:ind w:left="0" w:right="0"/>
        <w:jc w:val="left"/>
      </w:pPr>
      <w:r>
        <w:rPr>
          <w:rFonts w:ascii="Calibri" w:hAnsi="Calibri" w:eastAsia="Calibri" w:cs="Calibri"/>
          <w:color w:val="000000"/>
          <w:sz w:val="22"/>
          <w:szCs w:val="22"/>
        </w:rPr>
        <w:t xml:space="preserve">Zheng W, Newcombe G, Hu D, Cao Z, Yu Z &amp; Peng Z (2019) The first record of a North American poplar leaf rust fungus,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182. </w:t>
      </w:r>
      <w:hyperlink r:id="rId40816a45e68857c46" w:history="1">
        <w:r>
          <w:rPr>
            <w:rFonts w:ascii="Calibri" w:hAnsi="Calibri" w:eastAsia="Calibri" w:cs="Calibri"/>
            <w:color w:val="0000CC"/>
            <w:sz w:val="22"/>
            <w:szCs w:val="22"/>
            <w:u w:val="single"/>
          </w:rPr>
          <w:t xml:space="preserve">https://doi.org/10.3390/f10020182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(1955) Studies of western tree rusts. II. </w:t>
      </w:r>
      <w:r>
        <w:rPr>
          <w:rFonts w:ascii="Calibri" w:hAnsi="Calibri" w:eastAsia="Calibri" w:cs="Calibri"/>
          <w:i/>
          <w:iCs/>
          <w:color w:val="000000"/>
          <w:sz w:val="22"/>
          <w:szCs w:val="22"/>
        </w:rPr>
        <w:t xml:space="preserve">Melampsora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albertensis</w:t>
      </w:r>
      <w:r>
        <w:rPr>
          <w:rFonts w:ascii="Calibri" w:hAnsi="Calibri" w:eastAsia="Calibri" w:cs="Calibri"/>
          <w:color w:val="000000"/>
          <w:sz w:val="22"/>
          <w:szCs w:val="22"/>
        </w:rPr>
        <w:t xml:space="preserve">, two needle rusts of Douglas-fir.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177-188.</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(1965) Studies of western tree rusts. VI. The aecial host ranges of </w:t>
      </w:r>
      <w:r>
        <w:rPr>
          <w:rFonts w:ascii="Calibri" w:hAnsi="Calibri" w:eastAsia="Calibri" w:cs="Calibri"/>
          <w:i/>
          <w:iCs/>
          <w:color w:val="000000"/>
          <w:sz w:val="22"/>
          <w:szCs w:val="22"/>
        </w:rPr>
        <w:t xml:space="preserve">Melampsora albertensis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217-230.</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w:t>
      </w:r>
      <w:r>
        <w:rPr>
          <w:rFonts w:ascii="Calibri" w:hAnsi="Calibri" w:eastAsia="Calibri" w:cs="Calibri"/>
          <w:i/>
          <w:iCs/>
          <w:color w:val="000000"/>
          <w:sz w:val="22"/>
          <w:szCs w:val="22"/>
        </w:rPr>
        <w:t xml:space="preserve">The tree rusts of western Canada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Service, British Columbia, Canada, Publications</w:t>
      </w:r>
      <w:r>
        <w:rPr>
          <w:rFonts w:ascii="Calibri" w:hAnsi="Calibri" w:eastAsia="Calibri" w:cs="Calibri"/>
          <w:color w:val="000000"/>
          <w:sz w:val="22"/>
          <w:szCs w:val="22"/>
        </w:rPr>
        <w:t xml:space="preserve"> No. 1329, pp. 144-147. Forest Service, British Columbia,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Pascal Frey (INRAE, Nancy, France). His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EPPO datasheets on pests recommended for regulation. Available online. </w:t>
      </w:r>
      <w:hyperlink r:id="rId74356a45e68857ec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Melampsora medusae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81-86.</w:t>
      </w:r>
    </w:p>
    <w:p>
      <w:r>
        <w:drawing>
          <wp:inline distT="0" distB="0" distL="0" distR="0">
            <wp:extent cx="1800000" cy="604800"/>
            <wp:docPr id="99492153" name="name18446a45e6885809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336a45e6885809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651582">
    <w:multiLevelType w:val="hybridMultilevel"/>
    <w:lvl w:ilvl="0" w:tplc="14098002">
      <w:start w:val="1"/>
      <w:numFmt w:val="decimal"/>
      <w:lvlText w:val="%1."/>
      <w:lvlJc w:val="left"/>
      <w:pPr>
        <w:ind w:left="720" w:hanging="360"/>
      </w:pPr>
    </w:lvl>
    <w:lvl w:ilvl="1" w:tplc="14098002" w:tentative="1">
      <w:start w:val="1"/>
      <w:numFmt w:val="lowerLetter"/>
      <w:lvlText w:val="%2."/>
      <w:lvlJc w:val="left"/>
      <w:pPr>
        <w:ind w:left="1440" w:hanging="360"/>
      </w:pPr>
    </w:lvl>
    <w:lvl w:ilvl="2" w:tplc="14098002" w:tentative="1">
      <w:start w:val="1"/>
      <w:numFmt w:val="lowerRoman"/>
      <w:lvlText w:val="%3."/>
      <w:lvlJc w:val="right"/>
      <w:pPr>
        <w:ind w:left="2160" w:hanging="180"/>
      </w:pPr>
    </w:lvl>
    <w:lvl w:ilvl="3" w:tplc="14098002" w:tentative="1">
      <w:start w:val="1"/>
      <w:numFmt w:val="decimal"/>
      <w:lvlText w:val="%4."/>
      <w:lvlJc w:val="left"/>
      <w:pPr>
        <w:ind w:left="2880" w:hanging="360"/>
      </w:pPr>
    </w:lvl>
    <w:lvl w:ilvl="4" w:tplc="14098002" w:tentative="1">
      <w:start w:val="1"/>
      <w:numFmt w:val="lowerLetter"/>
      <w:lvlText w:val="%5."/>
      <w:lvlJc w:val="left"/>
      <w:pPr>
        <w:ind w:left="3600" w:hanging="360"/>
      </w:pPr>
    </w:lvl>
    <w:lvl w:ilvl="5" w:tplc="14098002" w:tentative="1">
      <w:start w:val="1"/>
      <w:numFmt w:val="lowerRoman"/>
      <w:lvlText w:val="%6."/>
      <w:lvlJc w:val="right"/>
      <w:pPr>
        <w:ind w:left="4320" w:hanging="180"/>
      </w:pPr>
    </w:lvl>
    <w:lvl w:ilvl="6" w:tplc="14098002" w:tentative="1">
      <w:start w:val="1"/>
      <w:numFmt w:val="decimal"/>
      <w:lvlText w:val="%7."/>
      <w:lvlJc w:val="left"/>
      <w:pPr>
        <w:ind w:left="5040" w:hanging="360"/>
      </w:pPr>
    </w:lvl>
    <w:lvl w:ilvl="7" w:tplc="14098002" w:tentative="1">
      <w:start w:val="1"/>
      <w:numFmt w:val="lowerLetter"/>
      <w:lvlText w:val="%8."/>
      <w:lvlJc w:val="left"/>
      <w:pPr>
        <w:ind w:left="5760" w:hanging="360"/>
      </w:pPr>
    </w:lvl>
    <w:lvl w:ilvl="8" w:tplc="14098002" w:tentative="1">
      <w:start w:val="1"/>
      <w:numFmt w:val="lowerRoman"/>
      <w:lvlText w:val="%9."/>
      <w:lvlJc w:val="right"/>
      <w:pPr>
        <w:ind w:left="6480" w:hanging="180"/>
      </w:pPr>
    </w:lvl>
  </w:abstractNum>
  <w:abstractNum w:abstractNumId="97651581">
    <w:multiLevelType w:val="hybridMultilevel"/>
    <w:lvl w:ilvl="0" w:tplc="463010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651581">
    <w:abstractNumId w:val="97651581"/>
  </w:num>
  <w:num w:numId="97651582">
    <w:abstractNumId w:val="976515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5575403" Type="http://schemas.microsoft.com/office/2011/relationships/commentsExtended" Target="commentsExtended.xml"/><Relationship Id="rId741407457" Type="http://schemas.microsoft.com/office/2011/relationships/people" Target="people.xml"/><Relationship Id="rId22946a45e68850a7e" Type="http://schemas.openxmlformats.org/officeDocument/2006/relationships/hyperlink" Target="https://gd.eppo.int/taxon/MELMME/" TargetMode="External"/><Relationship Id="rId69846a45e68850ac3" Type="http://schemas.openxmlformats.org/officeDocument/2006/relationships/hyperlink" Target="https://gd.eppo.int/taxon/MELMME/categorization" TargetMode="External"/><Relationship Id="rId39496a45e6885131f" Type="http://schemas.openxmlformats.org/officeDocument/2006/relationships/hyperlink" Target="https://gd.eppo.int/taxon/MELMME/photos" TargetMode="External"/><Relationship Id="rId27726a45e6885677d" Type="http://schemas.openxmlformats.org/officeDocument/2006/relationships/hyperlink" Target="https://gd.eppo.int/taxon/MELMME/documents" TargetMode="External"/><Relationship Id="rId93776a45e688567e0" Type="http://schemas.openxmlformats.org/officeDocument/2006/relationships/hyperlink" Target="https://gd.eppo.int/standards/PM8/" TargetMode="External"/><Relationship Id="rId30876a45e68856831" Type="http://schemas.openxmlformats.org/officeDocument/2006/relationships/hyperlink" Target="https://gd.eppo.int/standards/PM8/" TargetMode="External"/><Relationship Id="rId19536a45e68856865" Type="http://schemas.openxmlformats.org/officeDocument/2006/relationships/hyperlink" Target="http://data.europa.eu/eli/reg_impl/2019/2072/oj" TargetMode="External"/><Relationship Id="rId65806a45e68856ab3" Type="http://schemas.openxmlformats.org/officeDocument/2006/relationships/hyperlink" Target="https://doi.org/10.2903/j.efsa.2018.5354" TargetMode="External"/><Relationship Id="rId40816a45e68857c46" Type="http://schemas.openxmlformats.org/officeDocument/2006/relationships/hyperlink" Target="https://doi.org/10.3390/f10020182" TargetMode="External"/><Relationship Id="rId74356a45e68857ecb" Type="http://schemas.openxmlformats.org/officeDocument/2006/relationships/hyperlink" Target="https://gd.eppo.int" TargetMode="External"/><Relationship Id="rId24456a45e688511f4" Type="http://schemas.openxmlformats.org/officeDocument/2006/relationships/image" Target="media/imgrId24456a45e688511f4.jpg"/><Relationship Id="rId47936a45e68854cce" Type="http://schemas.openxmlformats.org/officeDocument/2006/relationships/image" Target="media/imgrId47936a45e68854cce.jpg"/><Relationship Id="rId82336a45e6885809a" Type="http://schemas.openxmlformats.org/officeDocument/2006/relationships/image" Target="media/imgrId82336a45e6885809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