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Melampsora farlowii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Melampsora farlowii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(Arthur) Davis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Melampsoraceae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Chrysomyxa farlowii</w:t>
            </w:r>
            <w:r>
              <w:rPr>
                <w:rFonts w:ascii="Calibri" w:hAnsi="Calibri" w:eastAsia="Calibri" w:cs="Calibri"/>
                <w:color w:val="000000"/>
                <w:position w:val="-3"/>
                <w:sz w:val="22"/>
                <w:szCs w:val="22"/>
              </w:rPr>
              <w:t xml:space="preserve"> (Arthur) Saccardo &amp; Traverso, </w:t>
            </w:r>
            <w:r>
              <w:rPr>
                <w:rFonts w:ascii="Calibri" w:hAnsi="Calibri" w:eastAsia="Calibri" w:cs="Calibri"/>
                <w:i/>
                <w:iCs/>
                <w:color w:val="000000"/>
                <w:position w:val="-3"/>
                <w:sz w:val="22"/>
                <w:szCs w:val="22"/>
              </w:rPr>
              <w:t xml:space="preserve">Necium farlowii</w:t>
            </w:r>
            <w:r>
              <w:rPr>
                <w:rFonts w:ascii="Calibri" w:hAnsi="Calibri" w:eastAsia="Calibri" w:cs="Calibri"/>
                <w:color w:val="000000"/>
                <w:position w:val="-3"/>
                <w:sz w:val="22"/>
                <w:szCs w:val="22"/>
              </w:rPr>
              <w:t xml:space="preserve"> Arthur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hemlock twig rust, rust of hemlock, rust of tsuga</w:t>
            </w:r>
            <w:hyperlink r:id="rId887469931a3081b9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45369931a3081bf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MELMFA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00346" name="name203769931a308222f" descr="148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27.jpg"/>
                          <pic:cNvPicPr/>
                        </pic:nvPicPr>
                        <pic:blipFill>
                          <a:blip r:embed="rId940269931a308222d" cstate="print"/>
                          <a:stretch>
                            <a:fillRect/>
                          </a:stretch>
                        </pic:blipFill>
                        <pic:spPr>
                          <a:xfrm>
                            <a:off x="0" y="0"/>
                            <a:ext cx="2160000" cy="1281600"/>
                          </a:xfrm>
                          <a:prstGeom prst="rect">
                            <a:avLst/>
                          </a:prstGeom>
                          <a:ln w="0">
                            <a:noFill/>
                          </a:ln>
                        </pic:spPr>
                      </pic:pic>
                    </a:graphicData>
                  </a:graphic>
                </wp:inline>
              </w:drawing>
            </w:r>
            <w:hyperlink r:id="rId971169931a308235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is an autoecious, microcyclic rust fungus with a telial stage and teliospores. Teliospores can germinate and produce basidia and basidiospores. The fungus species was first considered under the monotypic genus </w:t>
      </w:r>
      <w:r>
        <w:rPr>
          <w:rFonts w:ascii="Calibri" w:hAnsi="Calibri" w:eastAsia="Calibri" w:cs="Calibri"/>
          <w:i/>
          <w:iCs/>
          <w:color w:val="000000"/>
          <w:sz w:val="22"/>
          <w:szCs w:val="22"/>
        </w:rPr>
        <w:t xml:space="preserve">Necium</w:t>
      </w:r>
      <w:r>
        <w:rPr>
          <w:rFonts w:ascii="Calibri" w:hAnsi="Calibri" w:eastAsia="Calibri" w:cs="Calibri"/>
          <w:color w:val="000000"/>
          <w:sz w:val="22"/>
          <w:szCs w:val="22"/>
        </w:rPr>
        <w:t xml:space="preserve"> J.C. Arthur, as </w:t>
      </w:r>
      <w:r>
        <w:rPr>
          <w:rFonts w:ascii="Calibri" w:hAnsi="Calibri" w:eastAsia="Calibri" w:cs="Calibri"/>
          <w:i/>
          <w:iCs/>
          <w:color w:val="000000"/>
          <w:sz w:val="22"/>
          <w:szCs w:val="22"/>
        </w:rPr>
        <w:t xml:space="preserve">N. farlowii</w:t>
      </w:r>
      <w:r>
        <w:rPr>
          <w:rFonts w:ascii="Calibri" w:hAnsi="Calibri" w:eastAsia="Calibri" w:cs="Calibri"/>
          <w:color w:val="000000"/>
          <w:sz w:val="22"/>
          <w:szCs w:val="22"/>
        </w:rPr>
        <w:t xml:space="preserve">, because of its host range and unique life cycle (Arthur 1907). Later on, Saccardo and Traverso (1910) considered the fungus under the genus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C. farlowii</w:t>
      </w:r>
      <w:r>
        <w:rPr>
          <w:rFonts w:ascii="Calibri" w:hAnsi="Calibri" w:eastAsia="Calibri" w:cs="Calibri"/>
          <w:color w:val="000000"/>
          <w:sz w:val="22"/>
          <w:szCs w:val="22"/>
        </w:rPr>
        <w:t xml:space="preserve">. Finally, Davis (1915) transferred this taxon from </w:t>
      </w:r>
      <w:r>
        <w:rPr>
          <w:rFonts w:ascii="Calibri" w:hAnsi="Calibri" w:eastAsia="Calibri" w:cs="Calibri"/>
          <w:i/>
          <w:iCs/>
          <w:color w:val="000000"/>
          <w:sz w:val="22"/>
          <w:szCs w:val="22"/>
        </w:rPr>
        <w:t xml:space="preserve">Necium</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M. farlowii.</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is a common host for the aecia of the macrocyclic (=long-cycled) rust </w:t>
      </w:r>
      <w:r>
        <w:rPr>
          <w:rFonts w:ascii="Calibri" w:hAnsi="Calibri" w:eastAsia="Calibri" w:cs="Calibri"/>
          <w:i/>
          <w:iCs/>
          <w:color w:val="000000"/>
          <w:sz w:val="22"/>
          <w:szCs w:val="22"/>
        </w:rPr>
        <w:t xml:space="preserve">Melampsora abietis-canadensis</w:t>
      </w:r>
      <w:r>
        <w:rPr>
          <w:rFonts w:ascii="Calibri" w:hAnsi="Calibri" w:eastAsia="Calibri" w:cs="Calibri"/>
          <w:color w:val="000000"/>
          <w:sz w:val="22"/>
          <w:szCs w:val="22"/>
        </w:rPr>
        <w:t xml:space="preserve"> and for the telia of the microcyclic (=short-cycled)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abietis-canadensis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may be considered as ‘correlated species’ occurring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(Arthur, 1934; Jackson, 1931).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are hemlock trees,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caroliniana</w:t>
      </w:r>
      <w:r>
        <w:rPr>
          <w:rFonts w:ascii="Calibri" w:hAnsi="Calibri" w:eastAsia="Calibri" w:cs="Calibri"/>
          <w:color w:val="000000"/>
          <w:sz w:val="22"/>
          <w:szCs w:val="22"/>
        </w:rPr>
        <w:t xml:space="preserve">. Some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have been introduced as ornamental trees in the EPPO region and </w:t>
      </w:r>
      <w:r>
        <w:rPr>
          <w:rFonts w:ascii="Calibri" w:hAnsi="Calibri" w:eastAsia="Calibri" w:cs="Calibri"/>
          <w:i/>
          <w:iCs/>
          <w:color w:val="000000"/>
          <w:sz w:val="22"/>
          <w:szCs w:val="22"/>
        </w:rPr>
        <w:t xml:space="preserve">T. heterophylla</w:t>
      </w:r>
      <w:r>
        <w:rPr>
          <w:rFonts w:ascii="Calibri" w:hAnsi="Calibri" w:eastAsia="Calibri" w:cs="Calibri"/>
          <w:color w:val="000000"/>
          <w:sz w:val="22"/>
          <w:szCs w:val="22"/>
        </w:rPr>
        <w:t xml:space="preserve"> is a relatively important forest species in some EPPO countries (though not recorded as a host of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Hemlock rust caused by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has only been reported from eastern North America and Alaska, so far. In Canada, the pathogen is reported in Nova Scotia and Quebec on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In the USA, the disease is reported as present in Alaska, Connecticut, Georgia, Maine, Massachusetts, Michigan, New Hampshire, New York, Pennsylvania, Tennessee, Vermont, Virginia, West Virginia, Wisconsin on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and from North Carolina on </w:t>
      </w:r>
      <w:r>
        <w:rPr>
          <w:rFonts w:ascii="Calibri" w:hAnsi="Calibri" w:eastAsia="Calibri" w:cs="Calibri"/>
          <w:i/>
          <w:iCs/>
          <w:color w:val="000000"/>
          <w:sz w:val="22"/>
          <w:szCs w:val="22"/>
        </w:rPr>
        <w:t xml:space="preserve">T. caroliniana</w:t>
      </w:r>
      <w:r>
        <w:rPr>
          <w:rFonts w:ascii="Calibri" w:hAnsi="Calibri" w:eastAsia="Calibri" w:cs="Calibri"/>
          <w:color w:val="000000"/>
          <w:sz w:val="22"/>
          <w:szCs w:val="22"/>
        </w:rPr>
        <w:t xml:space="preserve"> (Hepting and Toole 1939; Kenaley and Hudler, 2010; MyCoPortal, 2023). The rust fungus is found mainly at higher altitudes in the southern part of its range (CABI, 2019).</w:t>
      </w:r>
    </w:p>
    <w:p>
      <w:r>
        <w:drawing>
          <wp:inline distT="0" distB="0" distL="0" distR="0">
            <wp:extent cx="6120000" cy="3067200"/>
            <wp:docPr id="37840515" name="name613669931a3083a3d" descr="MELM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MFA_distribution_map.jpg"/>
                    <pic:cNvPicPr/>
                  </pic:nvPicPr>
                  <pic:blipFill>
                    <a:blip r:embed="rId759069931a3083a3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 Québec), United States of America (Alaska, Connecticut, Georgia, Maine, Massachusetts, Michigan, New Hampshire, New York, North Carolina, Pennsylvania, Tennessee,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is a microcyclic, autoecious rust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affecting leaves, twigs and cones, and for which only the telial and basidial stages are known. Telia overwinter on twigs and cones killed the previous spring, and spore release coincides with hemlock bud burst. Given favourable meteorological conditions (i.e., cool, wet weather), teliospores germinate in place, producing abundant basidiospores from early May to June. These basidiospores infect the current season's leaves and cones; further telia appear within 2-4 weeks of infection. Telia mature throughout the growing season and represent the overwintering state of the fungus as sori on cones and twigs, giving rise to basidiospores the following spring (Hepting and Toole, 1939; Hepting, 1971; Kenaley and Hudler, 2010; Peace, 1962).</w:t>
      </w:r>
    </w:p>
    <w:p>
      <w:pPr>
        <w:widowControl w:val="on"/>
        <w:pBdr/>
        <w:spacing w:before="220" w:after="220" w:line="240" w:lineRule="auto"/>
        <w:ind w:left="0" w:right="0"/>
        <w:jc w:val="both"/>
      </w:pPr>
      <w:r>
        <w:rPr>
          <w:rFonts w:ascii="Calibri" w:hAnsi="Calibri" w:eastAsia="Calibri" w:cs="Calibri"/>
          <w:color w:val="000000"/>
          <w:sz w:val="22"/>
          <w:szCs w:val="22"/>
        </w:rPr>
        <w:t xml:space="preserve">Incidence of the disease is affected by rainfall, the duration of which is more important than the amount; short showers often do not last long enough for basidiospores to be produced. In spring (late April – early June), ten or more continuous hours of precipitation appear to be required for teliospore germination and the resultant production of basidiospores. Dew is insufficient for teliospore germination. Thus, cool (10 –18° C), wet weather lasting greater than one-day is sufficient for teliospore germination and the production of basidiospores. Disease severity seems to vary with altitude; it was reported as being severe in nurseries at 1200 and 1300 m and practically absent from a nursery nearby at 830 m; it may be that the lower temperatures at higher altitudes favour development of the fungus (CABI, 2019; Hepting and Toole, 1939; Kenaley and Hudler,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causes shoot blight and shoot curl of the current season’s shoots of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caroliniana</w:t>
      </w:r>
      <w:r>
        <w:rPr>
          <w:rFonts w:ascii="Calibri" w:hAnsi="Calibri" w:eastAsia="Calibri" w:cs="Calibri"/>
          <w:color w:val="000000"/>
          <w:sz w:val="22"/>
          <w:szCs w:val="22"/>
        </w:rPr>
        <w:t xml:space="preserve">. Leaves, cones and twigs are generally attacked. In addition to causing death and malformation of branches, the disease also causes abortion of newly formed cones. The first symptom in the spring is a yellowing of the new leaves, one month or so after bud burst. Seven to 10 days later, the shoots at the leaf bases turn orange and then become flaccid, causing the shoots to droop. Uninfected needles drop from affected twigs resulting in few needles remaining on the twig at points distal to the point of infection. Infected twigs later curl as the fungus invades the vascular tissue and remain on the tree for a year or more. Infected cones remain closed, do not produce seed and are frequently discoloured, shrivelled and mummified. Small swollen places on the cone scales indicate the presence of telia. Aborted cones often persist on affected trees (Hepting, 1971; Hepting and Toole, 1939; Kenaley and Hudler, 2010).</w:t>
      </w:r>
    </w:p>
    <w:p>
      <w:pPr>
        <w:widowControl w:val="on"/>
        <w:pBdr/>
        <w:spacing w:before="220" w:after="220" w:line="240" w:lineRule="auto"/>
        <w:ind w:left="0" w:right="0"/>
        <w:jc w:val="both"/>
      </w:pPr>
      <w:r>
        <w:rPr>
          <w:rFonts w:ascii="Calibri" w:hAnsi="Calibri" w:eastAsia="Calibri" w:cs="Calibri"/>
          <w:color w:val="000000"/>
          <w:sz w:val="22"/>
          <w:szCs w:val="22"/>
        </w:rPr>
        <w:t xml:space="preserve">Hemlock rust can be destructive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particularly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in nurseries. Nursery-grown hemlocks, 0.6-5 m high, are especially liable to severe attack. However, in the forest, this rust apparently does little damage, killing only occasional twigs and aborting cones, although trees up to 26 m may also be infected. Since diseased cones produce no seed, the rust can also affect the seed crop (CABI, 2019; Hepting and Toole, 1939; Hepting, 1971; Kenaley and Hudler,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Telia are hypophyllous, occasionally epiphyllous and on cones and twigs, waxy, reddish to rust-brown, linear, confluent, composed of single palisades of sessile teliospores that form just beneath the epidermis (subepidermal). Teliospores are oblong or cylindric (7-10 x 35-58 µm), teliospore wall is yellowish-brown, smooth, uniformly 0.5-1 µm thick or slightly thicker on the upper part. Basidiospores are spherical, reddish yellow, with an average diameter of 8 µm. Spermogonia, aecia and uredinia have not been found (Arthur 1934, Kenaley and Hudler 2010, Peace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identified based on symptoms and morphological descriptions of telia, teliospores and basidiospores previously described on this datasheet (see Detection and identification part).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detected by inspecting the abaxial surface of the needles or twigs for waxy linear telial pustules that are subepidermal, reddish to rust-brown and remaining covered. The fungus can be positively identified on the basis of symptoms and morphological features.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is the only rust fungus with a telial state has been reported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It can be distinguished by its 1-celled, sessile, laterally adherent oblong or cylindric teliospores (Arthur, 1934; EFSA PLH Panel, 2018; Kenaley and Hudler,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the spread of the disease is ensured by basidiospore dispersal (CABI, 2019). In international trade,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is liable to be carried on infected host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Hemlock rust is the most destructive rust attacking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particularly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canadensis</w:t>
      </w:r>
      <w:r>
        <w:rPr>
          <w:rFonts w:ascii="Calibri" w:hAnsi="Calibri" w:eastAsia="Calibri" w:cs="Calibri"/>
          <w:color w:val="000000"/>
          <w:sz w:val="22"/>
          <w:szCs w:val="22"/>
        </w:rPr>
        <w:t xml:space="preserve">. Although not generally a problem in forests in natural stands along the Appalachian range, hemlock twig rust can cause damage in commercial tree nurseries, where cultural conditions favour the development of the disease (Hepting and Toole, 1939; Kenaley &amp; Hudler, 2010). In commercial nurseries raising ornamental trees,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plants a few years old are often rendered unsaleable following attack. In addition to causing death and malformation of branches, the disease also causes abortion of newly formed cones (Hepting and Toole, 1939; Hepting,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Kenaley and Hudler (2010) recommend spraying with triadimefon, neem oil or mancozeb once when buds break and twice at 7 - 14-day intervals in commercial nurseries. As inoculum produced within infected nursery beds or cultures will persist, it is also recommended to not plant susceptible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species in areas where disease is severe (Kenaley and Hudler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is potentially dangerous to all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wherever these are grown in particular in commercial nurseries. The rust could probably cause damage to </w:t>
      </w:r>
      <w:r>
        <w:rPr>
          <w:rFonts w:ascii="Calibri" w:hAnsi="Calibri" w:eastAsia="Calibri" w:cs="Calibri"/>
          <w:i/>
          <w:iCs/>
          <w:color w:val="000000"/>
          <w:sz w:val="22"/>
          <w:szCs w:val="22"/>
        </w:rPr>
        <w:t xml:space="preserve">T. heterophylla</w:t>
      </w:r>
      <w:r>
        <w:rPr>
          <w:rFonts w:ascii="Calibri" w:hAnsi="Calibri" w:eastAsia="Calibri" w:cs="Calibri"/>
          <w:color w:val="000000"/>
          <w:sz w:val="22"/>
          <w:szCs w:val="22"/>
        </w:rPr>
        <w:t xml:space="preserve"> which is a relatively important forest species in some EPPO countries, and may increase in importance in the future. Since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occurs commonly in north-eastern North America, it is reasonable to expect that its optimum development at lower latitudes would be at higher elevations.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(EPPO, 2018) recommend that plants for planting (except seeds) and cut branches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should come from pest-free areas. In the EU, the importation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plants other than fruit and seeds in prohibited from any non-European country (EFSA PLH Panel,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(1907). Coleosporiaceae, Uredinaceae, Aecidiaceae (Pars). </w:t>
      </w:r>
      <w:r>
        <w:rPr>
          <w:rFonts w:ascii="Calibri" w:hAnsi="Calibri" w:eastAsia="Calibri" w:cs="Calibri"/>
          <w:i/>
          <w:iCs/>
          <w:color w:val="000000"/>
          <w:sz w:val="22"/>
          <w:szCs w:val="22"/>
        </w:rPr>
        <w:t xml:space="preserve">North American 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 83-160.</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(1934) </w:t>
      </w:r>
      <w:r>
        <w:rPr>
          <w:rFonts w:ascii="Calibri" w:hAnsi="Calibri" w:eastAsia="Calibri" w:cs="Calibri"/>
          <w:i/>
          <w:iCs/>
          <w:color w:val="000000"/>
          <w:sz w:val="22"/>
          <w:szCs w:val="22"/>
        </w:rPr>
        <w:t xml:space="preserve">Manual of the rusts in United States and Canada</w:t>
      </w:r>
      <w:r>
        <w:rPr>
          <w:rFonts w:ascii="Calibri" w:hAnsi="Calibri" w:eastAsia="Calibri" w:cs="Calibri"/>
          <w:color w:val="000000"/>
          <w:sz w:val="22"/>
          <w:szCs w:val="22"/>
        </w:rPr>
        <w:t xml:space="preserve">. Purdue Research Foundation, Purdue, Indiana, USA.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(hemlock rust)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CABI Compendium. CABI, Wallingford, UK. </w:t>
      </w:r>
      <w:hyperlink r:id="rId277069931a3084338" w:history="1">
        <w:r>
          <w:rPr>
            <w:rFonts w:ascii="Calibri" w:hAnsi="Calibri" w:eastAsia="Calibri" w:cs="Calibri"/>
            <w:color w:val="0000CC"/>
            <w:sz w:val="22"/>
            <w:szCs w:val="22"/>
            <w:u w:val="single"/>
          </w:rPr>
          <w:t xml:space="preserve">https://www.cabidigitallibrary.org/doi/full/10.1079/cabicompendium.33287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Cummins GB &amp; Hiratsuka Y (2003) Illustrated Genera of Rust Fungi. Third Edition. American Phytopathological Society, St. Paul, Minnesota.</w:t>
      </w:r>
    </w:p>
    <w:p>
      <w:pPr>
        <w:widowControl w:val="on"/>
        <w:pBdr/>
        <w:spacing w:before="220" w:after="220" w:line="240" w:lineRule="auto"/>
        <w:ind w:left="0" w:right="0"/>
        <w:jc w:val="left"/>
      </w:pPr>
      <w:r>
        <w:rPr>
          <w:rFonts w:ascii="Calibri" w:hAnsi="Calibri" w:eastAsia="Calibri" w:cs="Calibri"/>
          <w:color w:val="000000"/>
          <w:sz w:val="22"/>
          <w:szCs w:val="22"/>
        </w:rPr>
        <w:t xml:space="preserve">Davis JJ (1915) Notes on parasitic fungi in Wisconsin – II. </w:t>
      </w:r>
      <w:r>
        <w:rPr>
          <w:rFonts w:ascii="Calibri" w:hAnsi="Calibri" w:eastAsia="Calibri" w:cs="Calibri"/>
          <w:i/>
          <w:iCs/>
          <w:color w:val="000000"/>
          <w:sz w:val="22"/>
          <w:szCs w:val="22"/>
        </w:rPr>
        <w:t xml:space="preserve">Transactions of the Wisconsin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93-109.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Di Serio F, Gonthier P, Jacques M, Jaques Miret JA, Fejer Justesen AM, MacLeod A, Magnusson CS, Milonas P, Navas-Cortes JA, Parnell S, Potting R, Reignault PL, Thulke HH, Van der Werf W, Vicent A, Yuen J, Zappala L, Boberg J, Jeger M, Pautasso M, Dehnen-Schmutz K (2018) Pest categorisation of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5442, 19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on Commodity-specific phytosanitary measures. PM 8/2 (3) Coniferae. Available from </w:t>
      </w:r>
      <w:hyperlink r:id="rId922669931a308446f" w:history="1">
        <w:r>
          <w:rPr>
            <w:rFonts w:ascii="Calibri" w:hAnsi="Calibri" w:eastAsia="Calibri" w:cs="Calibri"/>
            <w:color w:val="0000CC"/>
            <w:sz w:val="22"/>
            <w:szCs w:val="22"/>
            <w:u w:val="single"/>
          </w:rPr>
          <w:t xml:space="preserve">https://gd.eppo.int/taxon/MELMFA/documents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386, 489-492.</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&amp; Toole ER (1939) The hemlock rust caused by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463-473.</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HS (1931) Present evolutionary tendencies and the origin of life cycle in the Uredinales. Memoirs of the Torrey Botanical Club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1-108.</w:t>
      </w:r>
    </w:p>
    <w:p>
      <w:pPr>
        <w:widowControl w:val="on"/>
        <w:pBdr/>
        <w:spacing w:before="220" w:after="220" w:line="240" w:lineRule="auto"/>
        <w:ind w:left="0" w:right="0"/>
        <w:jc w:val="left"/>
      </w:pPr>
      <w:r>
        <w:rPr>
          <w:rFonts w:ascii="Calibri" w:hAnsi="Calibri" w:eastAsia="Calibri" w:cs="Calibri"/>
          <w:color w:val="000000"/>
          <w:sz w:val="22"/>
          <w:szCs w:val="22"/>
        </w:rPr>
        <w:t xml:space="preserve">Kenaley SC &amp; Hudler GW (2010) Hemlock twig rust caused by </w:t>
      </w:r>
      <w:r>
        <w:rPr>
          <w:rFonts w:ascii="Calibri" w:hAnsi="Calibri" w:eastAsia="Calibri" w:cs="Calibri"/>
          <w:i/>
          <w:iCs/>
          <w:color w:val="000000"/>
          <w:sz w:val="22"/>
          <w:szCs w:val="22"/>
        </w:rPr>
        <w:t xml:space="preserve">Melamspora farlowii (Arth.)</w:t>
      </w:r>
      <w:r>
        <w:rPr>
          <w:rFonts w:ascii="Calibri" w:hAnsi="Calibri" w:eastAsia="Calibri" w:cs="Calibri"/>
          <w:color w:val="000000"/>
          <w:sz w:val="22"/>
          <w:szCs w:val="22"/>
        </w:rPr>
        <w:t xml:space="preserve"> Davis. Cornell University Factsheet, Ithaca,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MyCoPortal (2023) </w:t>
      </w:r>
      <w:hyperlink r:id="rId103669931a30845f6" w:history="1">
        <w:r>
          <w:rPr>
            <w:rFonts w:ascii="Calibri" w:hAnsi="Calibri" w:eastAsia="Calibri" w:cs="Calibri"/>
            <w:color w:val="0000CC"/>
            <w:sz w:val="22"/>
            <w:szCs w:val="22"/>
            <w:u w:val="single"/>
          </w:rPr>
          <w:t xml:space="preserve">http://www.mycoportal.org/portal/index.php.</w:t>
        </w:r>
      </w:hyperlink>
      <w:r>
        <w:rPr>
          <w:rFonts w:ascii="Calibri" w:hAnsi="Calibri" w:eastAsia="Calibri" w:cs="Calibri"/>
          <w:color w:val="000000"/>
          <w:sz w:val="22"/>
          <w:szCs w:val="22"/>
        </w:rPr>
        <w:t xml:space="preserve"> Accessed on 2023-02-21.</w:t>
      </w:r>
    </w:p>
    <w:p>
      <w:pPr>
        <w:widowControl w:val="on"/>
        <w:pBdr/>
        <w:spacing w:before="220" w:after="220" w:line="240" w:lineRule="auto"/>
        <w:ind w:left="0" w:right="0"/>
        <w:jc w:val="left"/>
      </w:pPr>
      <w:r>
        <w:rPr>
          <w:rFonts w:ascii="Calibri" w:hAnsi="Calibri" w:eastAsia="Calibri" w:cs="Calibri"/>
          <w:color w:val="000000"/>
          <w:sz w:val="22"/>
          <w:szCs w:val="22"/>
        </w:rPr>
        <w:t xml:space="preserve">Peace TR (1962) </w:t>
      </w:r>
      <w:r>
        <w:rPr>
          <w:rFonts w:ascii="Calibri" w:hAnsi="Calibri" w:eastAsia="Calibri" w:cs="Calibri"/>
          <w:i/>
          <w:iCs/>
          <w:color w:val="000000"/>
          <w:sz w:val="22"/>
          <w:szCs w:val="22"/>
        </w:rPr>
        <w:t xml:space="preserve">Pathology of trees and shrubs</w:t>
      </w:r>
      <w:r>
        <w:rPr>
          <w:rFonts w:ascii="Calibri" w:hAnsi="Calibri" w:eastAsia="Calibri" w:cs="Calibri"/>
          <w:color w:val="000000"/>
          <w:sz w:val="22"/>
          <w:szCs w:val="22"/>
        </w:rPr>
        <w:t xml:space="preserve">. Oxford University Press,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Saccardo PA &amp; Traverso JB (1910) Index Iconum fungorum. In Saccardo PA (ed) Sylloge fungorum omnium hucusque cognitorum. Vol 19, Patavia.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2023 by Mehrdad Abbasi, The University of British Columbia (CA).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EPPO datasheets on pests recommended for regulation. Available online. </w:t>
      </w:r>
      <w:hyperlink r:id="rId874669931a308471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15,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9-12. </w:t>
      </w:r>
      <w:hyperlink r:id="rId900169931a30847eb" w:history="1">
        <w:r>
          <w:rPr>
            <w:rFonts w:ascii="Calibri" w:hAnsi="Calibri" w:eastAsia="Calibri" w:cs="Calibri"/>
            <w:color w:val="0000CC"/>
            <w:sz w:val="22"/>
            <w:szCs w:val="22"/>
            <w:u w:val="single"/>
          </w:rPr>
          <w:t xml:space="preserve">https://doi.org/10.1111/j.1365-2338.1980.tb02687.x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40850782" name="name758669931a30848a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8869931a30848a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886136">
    <w:multiLevelType w:val="hybridMultilevel"/>
    <w:lvl w:ilvl="0" w:tplc="72970102">
      <w:start w:val="1"/>
      <w:numFmt w:val="decimal"/>
      <w:lvlText w:val="%1."/>
      <w:lvlJc w:val="left"/>
      <w:pPr>
        <w:ind w:left="720" w:hanging="360"/>
      </w:pPr>
    </w:lvl>
    <w:lvl w:ilvl="1" w:tplc="72970102" w:tentative="1">
      <w:start w:val="1"/>
      <w:numFmt w:val="lowerLetter"/>
      <w:lvlText w:val="%2."/>
      <w:lvlJc w:val="left"/>
      <w:pPr>
        <w:ind w:left="1440" w:hanging="360"/>
      </w:pPr>
    </w:lvl>
    <w:lvl w:ilvl="2" w:tplc="72970102" w:tentative="1">
      <w:start w:val="1"/>
      <w:numFmt w:val="lowerRoman"/>
      <w:lvlText w:val="%3."/>
      <w:lvlJc w:val="right"/>
      <w:pPr>
        <w:ind w:left="2160" w:hanging="180"/>
      </w:pPr>
    </w:lvl>
    <w:lvl w:ilvl="3" w:tplc="72970102" w:tentative="1">
      <w:start w:val="1"/>
      <w:numFmt w:val="decimal"/>
      <w:lvlText w:val="%4."/>
      <w:lvlJc w:val="left"/>
      <w:pPr>
        <w:ind w:left="2880" w:hanging="360"/>
      </w:pPr>
    </w:lvl>
    <w:lvl w:ilvl="4" w:tplc="72970102" w:tentative="1">
      <w:start w:val="1"/>
      <w:numFmt w:val="lowerLetter"/>
      <w:lvlText w:val="%5."/>
      <w:lvlJc w:val="left"/>
      <w:pPr>
        <w:ind w:left="3600" w:hanging="360"/>
      </w:pPr>
    </w:lvl>
    <w:lvl w:ilvl="5" w:tplc="72970102" w:tentative="1">
      <w:start w:val="1"/>
      <w:numFmt w:val="lowerRoman"/>
      <w:lvlText w:val="%6."/>
      <w:lvlJc w:val="right"/>
      <w:pPr>
        <w:ind w:left="4320" w:hanging="180"/>
      </w:pPr>
    </w:lvl>
    <w:lvl w:ilvl="6" w:tplc="72970102" w:tentative="1">
      <w:start w:val="1"/>
      <w:numFmt w:val="decimal"/>
      <w:lvlText w:val="%7."/>
      <w:lvlJc w:val="left"/>
      <w:pPr>
        <w:ind w:left="5040" w:hanging="360"/>
      </w:pPr>
    </w:lvl>
    <w:lvl w:ilvl="7" w:tplc="72970102" w:tentative="1">
      <w:start w:val="1"/>
      <w:numFmt w:val="lowerLetter"/>
      <w:lvlText w:val="%8."/>
      <w:lvlJc w:val="left"/>
      <w:pPr>
        <w:ind w:left="5760" w:hanging="360"/>
      </w:pPr>
    </w:lvl>
    <w:lvl w:ilvl="8" w:tplc="72970102" w:tentative="1">
      <w:start w:val="1"/>
      <w:numFmt w:val="lowerRoman"/>
      <w:lvlText w:val="%9."/>
      <w:lvlJc w:val="right"/>
      <w:pPr>
        <w:ind w:left="6480" w:hanging="180"/>
      </w:pPr>
    </w:lvl>
  </w:abstractNum>
  <w:abstractNum w:abstractNumId="99886135">
    <w:multiLevelType w:val="hybridMultilevel"/>
    <w:lvl w:ilvl="0" w:tplc="350699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886135">
    <w:abstractNumId w:val="99886135"/>
  </w:num>
  <w:num w:numId="99886136">
    <w:abstractNumId w:val="998861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2896222" Type="http://schemas.microsoft.com/office/2011/relationships/commentsExtended" Target="commentsExtended.xml"/><Relationship Id="rId249904336" Type="http://schemas.microsoft.com/office/2011/relationships/people" Target="people.xml"/><Relationship Id="rId887469931a3081b92" Type="http://schemas.openxmlformats.org/officeDocument/2006/relationships/hyperlink" Target="https://gd.eppo.int/taxon/MELMFA/" TargetMode="External"/><Relationship Id="rId945369931a3081bfc" Type="http://schemas.openxmlformats.org/officeDocument/2006/relationships/hyperlink" Target="https://gd.eppo.int/taxon/MELMFA/categorization" TargetMode="External"/><Relationship Id="rId971169931a3082355" Type="http://schemas.openxmlformats.org/officeDocument/2006/relationships/hyperlink" Target="https://gd.eppo.int/taxon/MELMFA/photos" TargetMode="External"/><Relationship Id="rId277069931a3084338" Type="http://schemas.openxmlformats.org/officeDocument/2006/relationships/hyperlink" Target="https://www.cabidigitallibrary.org/doi/full/10.1079/cabicompendium.33287" TargetMode="External"/><Relationship Id="rId922669931a308446f" Type="http://schemas.openxmlformats.org/officeDocument/2006/relationships/hyperlink" Target="https://gd.eppo.int/taxon/MELMFA/documents" TargetMode="External"/><Relationship Id="rId103669931a30845f6" Type="http://schemas.openxmlformats.org/officeDocument/2006/relationships/hyperlink" Target="http://www.mycoportal.org/portal/index.php." TargetMode="External"/><Relationship Id="rId874669931a3084715" Type="http://schemas.openxmlformats.org/officeDocument/2006/relationships/hyperlink" Target="https://gd.eppo.int" TargetMode="External"/><Relationship Id="rId900169931a30847eb" Type="http://schemas.openxmlformats.org/officeDocument/2006/relationships/hyperlink" Target="https://doi.org/10.1111/j.1365-2338.1980.tb02687.x" TargetMode="External"/><Relationship Id="rId940269931a308222d" Type="http://schemas.openxmlformats.org/officeDocument/2006/relationships/image" Target="media/imgrId940269931a308222d.jpg"/><Relationship Id="rId759069931a3083a3a" Type="http://schemas.openxmlformats.org/officeDocument/2006/relationships/image" Target="media/imgrId759069931a3083a3a.jpg"/><Relationship Id="rId618869931a30848a7" Type="http://schemas.openxmlformats.org/officeDocument/2006/relationships/image" Target="media/imgrId618869931a30848a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