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Meloidogyne graminicola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2025-08-26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Meloidogyne graminicola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Golden &amp; Birchfield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Meloidogynidae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Rice root‐knot nematode</w:t>
            </w:r>
            <w:hyperlink r:id="rId18076ac634a812e3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70926ac634a812ea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MELGGC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9231848" name="name70656ac634a813415" descr="4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07.jpg"/>
                          <pic:cNvPicPr/>
                        </pic:nvPicPr>
                        <pic:blipFill>
                          <a:blip r:embed="rId66006ac634a813413" cstate="print"/>
                          <a:stretch>
                            <a:fillRect/>
                          </a:stretch>
                        </pic:blipFill>
                        <pic:spPr>
                          <a:xfrm>
                            <a:off x="0" y="0"/>
                            <a:ext cx="2160000" cy="1281600"/>
                          </a:xfrm>
                          <a:prstGeom prst="rect">
                            <a:avLst/>
                          </a:prstGeom>
                          <a:ln w="0">
                            <a:noFill/>
                          </a:ln>
                        </pic:spPr>
                      </pic:pic>
                    </a:graphicData>
                  </a:graphic>
                </wp:inline>
              </w:drawing>
            </w:r>
            <w:hyperlink r:id="rId67886ac634a8135b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economically important host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This root-knot nematode has primarily been found attacking irrigated and rainfed rice, lowland and upland rice, and deepwater rice. However,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has a wide host range (see list below) belonging to different families, mainly Poaceae but also Asteraceae, Cucurbitaceae, Fabaceae, Solanaceae (MacGowan &amp; Langdon, 1989). It has been found associated with other cereals as well as dicotyledonous and grass plants, including many weeds commonly present in rice fields that may constitute a major reservoir of nematodes (Bridge et al. 2005; Bridge &amp; Starr 2007; Rich et al. 2009). In Italy,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has been found associated with rice and weeds (</w:t>
      </w:r>
      <w:r>
        <w:rPr>
          <w:rFonts w:ascii="Calibri" w:hAnsi="Calibri" w:eastAsia="Calibri" w:cs="Calibri"/>
          <w:i/>
          <w:iCs/>
          <w:color w:val="000000"/>
          <w:sz w:val="22"/>
          <w:szCs w:val="22"/>
        </w:rPr>
        <w:t xml:space="preserve">Alisma plantago-aquatica, Cyperus difformis, Echinochloa crus-galli, Heteranthera reniformis, Murdannia keisak, Oryza sativa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sylvatica, Panicum dichotomiflorum</w:t>
      </w:r>
      <w:r>
        <w:rPr>
          <w:rFonts w:ascii="Calibri" w:hAnsi="Calibri" w:eastAsia="Calibri" w:cs="Calibri"/>
          <w:color w:val="000000"/>
          <w:sz w:val="22"/>
          <w:szCs w:val="22"/>
        </w:rPr>
        <w:t xml:space="preserve">) growing in the vicinity of affected rice plants (Fanelli et al., 2017). </w:t>
      </w:r>
    </w:p>
    <w:p>
      <w:pPr>
        <w:widowControl w:val="on"/>
        <w:pBdr/>
        <w:spacing w:before="220" w:after="220" w:line="240" w:lineRule="auto"/>
        <w:ind w:left="0" w:right="0"/>
        <w:jc w:val="both"/>
      </w:pPr>
      <w:r>
        <w:rPr>
          <w:rFonts w:ascii="Calibri" w:hAnsi="Calibri" w:eastAsia="Calibri" w:cs="Calibri"/>
          <w:color w:val="000000"/>
          <w:sz w:val="22"/>
          <w:szCs w:val="22"/>
        </w:rPr>
        <w:t xml:space="preserve">Many plants are recorded as hosts, however, it should be noted that host status depends on the host plant varieties and on the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biotypes.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Agrostis stolonifera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Alisma plantago-aquatica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Alopecurus carolinianus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Alopecurus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sessilis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baccifera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Andropogon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Blumea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Bonnaya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Bothriochloa bladhii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pedicellatus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Centella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aestuans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capsularis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Cyanotis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Cyanotis cucullata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Cyanthillium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Cymbopogon citratus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compressus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imbricatus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iria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pseudokyllingioides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pulcherrimus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Dactyloctenium aegyptium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triflorum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filiformis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longiflora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Eclipta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coracana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Eleusine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tenella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complanata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dichotoma var. pluristriata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dichotoma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littoralis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Fimbristylis quinquangularis subsp. quinquangularis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Fuirena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Glinus oppositifolius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Grangea ceruanoides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Hedyotis diffusa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Heteranthera reniformis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Impatiens balsamina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Imperata cylindrica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Ischaemum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microcephalus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brevifolia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Kyllinga gracillima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Leucas lavandulifolia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Lindernia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adscendens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Mecardonia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polyceratia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Murdannia keisak</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Murdannia nudiflora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Oplismenus compositus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corniculata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flexuosum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niruri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urinaria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Pontederia vaginalis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pusillus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Rungia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Sacciolepis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Schoenoplectiella articulata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Scoparia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Spermacoce articularis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Sphaeranthus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Sphenoclea zeylanica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durum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Urena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ramosa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Vandellia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first isolated in India by Israel et al. (1963), but it was described in 1965 from the roots of barnyard grass (</w:t>
      </w:r>
      <w:r>
        <w:rPr>
          <w:rFonts w:ascii="Calibri" w:hAnsi="Calibri" w:eastAsia="Calibri" w:cs="Calibri"/>
          <w:i/>
          <w:iCs/>
          <w:color w:val="000000"/>
          <w:sz w:val="22"/>
          <w:szCs w:val="22"/>
        </w:rPr>
        <w:t xml:space="preserve">Echinochloa colonum</w:t>
      </w:r>
      <w:r>
        <w:rPr>
          <w:rFonts w:ascii="Calibri" w:hAnsi="Calibri" w:eastAsia="Calibri" w:cs="Calibri"/>
          <w:color w:val="000000"/>
          <w:sz w:val="22"/>
          <w:szCs w:val="22"/>
        </w:rPr>
        <w:t xml:space="preserve">) in Baton Rouge, Louisiana, USA (Golden &amp; Birchfield, 1965). Until 2016,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only known to occur in Asia, Madagascar and South Africa, and in part of the Americas. In the EPPO region,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was first reported in 2016 in northern Italy in rice fields in Piedmont (provinces of Biella and Vercelli) (Fanelli et al., 2017), followed in 2018 by other outbreaks in Lombardy (province of Pavia) (EPPO, 2018). </w:t>
      </w:r>
    </w:p>
    <w:p>
      <w:r>
        <w:drawing>
          <wp:inline distT="0" distB="0" distL="0" distR="0">
            <wp:extent cx="6120000" cy="3067200"/>
            <wp:docPr id="74670287" name="name69656ac634a81561e" descr="MELGG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GGC_distribution_map.jpg"/>
                    <pic:cNvPicPr/>
                  </pic:nvPicPr>
                  <pic:blipFill>
                    <a:blip r:embed="rId31896ac634a81561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Italy (mainland)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Madagascar,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Hainan, Henan, Hubei, Hunan, Jiangsu, Jiangxi, Sichuan, Zhejiang), India (Andaman and Nicobar Islands, Andhra Pradesh, Assam, Bihar, Chhattisgarh, Delhi, Gujarat, Haryana, Himachal Pradesh, Jammu &amp; Kashmir, Jharkand, Karnataka, Kerala, Madhya Pradesh, Manipur, Odisha, Punjab, Sikkim, Tamil Nadu, Telangana, Tripura, Uttarakhand, Uttar Pradesh, West Bengal), Indonesia (Java, Sulawesi), Lao People's Democratic Republic, Malaysia, Myanmar, Nepal, Pakistan, Philippines, Singapore, Sri Lanka,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 Georgia, Indiana, Louisiana, Mississippi)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Haiti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(Parana, Rio Grande do Sul, Santa Catarina, Sao Paulo), Colombia, Ecuador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root-knot obligate sedentary endoparasite. Like the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its life cycle comprises the developmental stages: eggs, four juvenile stages and adults. The eggs are laid in egg masses inside the root cortex, although for a few host plants (e.g.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egg masses have also been observed outside roots (Negretti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first juvenile stage (J1) develops inside the egg and moults to the second one (J2), which hatches under favourable environmental conditions. After hatching, the J2s may be either move into the soil or remain inside the tissues of the same root gall. The J2s outside the root move through the soil to find a suitable host, actively penetrate the root near the tip towards the meristematic zone and start feeding, inducing a permanent feeding site in the stele with the formation of syncytium and galls (Gheysen &amp; Mitchum, 2011). The J2s which stay inside the maternal gall, either remain there or migrate intercellularly through the parenchymal cortex tissue towards new feeding sites within the same root, with the consequent formation of new galls (Mulk 1976; Bridge &amp; Page, 1982; Kyndt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allowing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to complete its life cycle without leaving the host under flooded conditions when roots are submerged.</w:t>
      </w:r>
    </w:p>
    <w:p>
      <w:pPr>
        <w:widowControl w:val="on"/>
        <w:pBdr/>
        <w:spacing w:before="220" w:after="220" w:line="240" w:lineRule="auto"/>
        <w:ind w:left="0" w:right="0"/>
        <w:jc w:val="both"/>
      </w:pPr>
      <w:r>
        <w:rPr>
          <w:rFonts w:ascii="Calibri" w:hAnsi="Calibri" w:eastAsia="Calibri" w:cs="Calibri"/>
          <w:color w:val="000000"/>
          <w:sz w:val="22"/>
          <w:szCs w:val="22"/>
        </w:rPr>
        <w:t xml:space="preserve">Inside the root, the J2s become sedentary and flask-shaped moulting to the third juvenile stage (J3), fourth juvenile stage (J4), and adult male or female stages (Gaur, 2003). The J3s and J4s do not have a functional stylet, hence they do not feed. Females are pear-shaped with a small neck (Mulk, 1976) and vermiform non-infective male specimens are both present in the same gall. Later, adult males leave the root and move into the soil, not able to attack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Typically, about 15-20 (occasionally up to 30) females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each bearing hundreds of eggs occur in one gall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facultative meiotic parthenogenetic species in which amphimixis can occur at a low frequency (approximately 0.5%) (Triantaphyllou, 1969;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paddy fields of northern Italy, only J2s were observed inside the roots at the second/beginning third leaf stage, mostly J3s, J4s, and males at the end third/beginning fourth leaf stage and females from the fourth leaf unfolded stage of rice plants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under glasshouse condition at room temperature, J2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entered the rice roots within 24 hrs. The duration of the life cycle from egg to J2, J3, J4, adult male and female stages was respectively 1-5, 6-8, 9-12, 23 and 26 days. The total duration, including the pre-parasitic stage, from egg to female was 25-28 days and females laid about 250-300 eggs in an egg sac inside the root tissues (Narasimhamurthy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Other studies reported that, compared with other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characterized by a relatively fast life cycle, completed in 19–27 days depending on the soil temperature, which usually ranges from 22 to 29 ºC in the areas in which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found (Yik &amp; Birchfield, 1979; Bridge &amp; Page, 1982;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J2s remain inside the root under flooded conditions but quickly leave the root and infest root tips of other plants when soils are drained (Manser, 1968);  J2s that are already in the soil can survive for several weeks, in flooding condition, but they will not infest roots until the water is removed (Bridge &amp; Page, 1982), therefore their presence in soil is dependent on the watering system of the rice crop. The survival of egg masses and J2s in soil was studied by various authors: Roy (1982) observed,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that numbers of egg masses decline rapidly after 4 months under waterlogged and moist conditions, and that some egg masses survive for longer periods remaining viable for at least 14 months in waterlogged soil; Bridge &amp; Page (1982) highlighted the J2s surviving in flooded soil for at least 5 months; Soomro (1989) reported that J2s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could survive and remain viable in moist soil, without a host plant, for up to 5 months, highlighting the nematode's ability to persist between rice cropping seasons, potentially impacting future rice yields;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verified, in greenhouse experiments, the survival and infectivity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up to 12 weeks incubation, demonstrating that both are significantly higher in flooded than in non-flooded soils; Soomro (1994) observed a 5 months survival of the rice root-knot nematode, in moist soil at 20-30°C without any host, greater at the lowest temperature.</w:t>
      </w:r>
    </w:p>
    <w:p>
      <w:pPr>
        <w:widowControl w:val="on"/>
        <w:pBdr/>
        <w:spacing w:before="220" w:after="220" w:line="240" w:lineRule="auto"/>
        <w:ind w:left="0" w:right="0"/>
        <w:jc w:val="both"/>
      </w:pPr>
      <w:r>
        <w:rPr>
          <w:rFonts w:ascii="Calibri" w:hAnsi="Calibri" w:eastAsia="Calibri" w:cs="Calibri"/>
          <w:color w:val="000000"/>
          <w:sz w:val="22"/>
          <w:szCs w:val="22"/>
        </w:rPr>
        <w:t xml:space="preserve">In most cases </w:t>
      </w:r>
      <w:r>
        <w:rPr>
          <w:rFonts w:ascii="Calibri" w:hAnsi="Calibri" w:eastAsia="Calibri" w:cs="Calibri"/>
          <w:i/>
          <w:iCs/>
          <w:color w:val="000000"/>
          <w:sz w:val="22"/>
          <w:szCs w:val="22"/>
        </w:rPr>
        <w:t xml:space="preserve">M. graminicola </w:t>
      </w:r>
      <w:r>
        <w:rPr>
          <w:rFonts w:ascii="Calibri" w:hAnsi="Calibri" w:eastAsia="Calibri" w:cs="Calibri"/>
          <w:color w:val="000000"/>
          <w:sz w:val="22"/>
          <w:szCs w:val="22"/>
        </w:rPr>
        <w:t xml:space="preserve">survives in the roots of infested plants after the rice harvest and in the root system of weed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are shown in the whole root system as characteristic swollen hook-shaped galls of different shapes and sizes, mainly at the root tips, which can also be club-shaped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Hook-shaped deformations are also typical of </w:t>
      </w:r>
      <w:r>
        <w:rPr>
          <w:rFonts w:ascii="Calibri" w:hAnsi="Calibri" w:eastAsia="Calibri" w:cs="Calibri"/>
          <w:i/>
          <w:iCs/>
          <w:color w:val="000000"/>
          <w:sz w:val="22"/>
          <w:szCs w:val="22"/>
        </w:rPr>
        <w:t xml:space="preserve">Meloidogyne oryzae</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produces oval or hook-shaped galls mainly restricted to the root tips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López, 1991).</w:t>
      </w:r>
    </w:p>
    <w:p>
      <w:pPr>
        <w:widowControl w:val="on"/>
        <w:pBdr/>
        <w:spacing w:before="220" w:after="220" w:line="240" w:lineRule="auto"/>
        <w:ind w:left="0" w:right="0"/>
        <w:jc w:val="both"/>
      </w:pPr>
      <w:r>
        <w:rPr>
          <w:rFonts w:ascii="Calibri" w:hAnsi="Calibri" w:eastAsia="Calibri" w:cs="Calibri"/>
          <w:color w:val="000000"/>
          <w:sz w:val="22"/>
          <w:szCs w:val="22"/>
        </w:rPr>
        <w:t xml:space="preserve">Root infestation by nematodes,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rice fields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infestation and large galls can also be observed on weeds. In Italy, the weeds found infested (see Hosts) showed the same above-ground symptoms as rice plants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symptoms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are shown in the whole root system as characteristic swollen hook-shaped galls of different shapes and sizes, mainly at the root tips, which can also be club-shaped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Hook-shaped deformations are also typical of </w:t>
      </w:r>
      <w:r>
        <w:rPr>
          <w:rFonts w:ascii="Calibri" w:hAnsi="Calibri" w:eastAsia="Calibri" w:cs="Calibri"/>
          <w:i/>
          <w:iCs/>
          <w:color w:val="000000"/>
          <w:sz w:val="22"/>
          <w:szCs w:val="22"/>
        </w:rPr>
        <w:t xml:space="preserve">Meloidogyne oryzae</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produces oval or hook-shaped galls mainly restricted to the root tips (Sancho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López, 1991).</w:t>
      </w:r>
    </w:p>
    <w:p>
      <w:pPr>
        <w:widowControl w:val="on"/>
        <w:pBdr/>
        <w:spacing w:before="220" w:after="220" w:line="240" w:lineRule="auto"/>
        <w:ind w:left="0" w:right="0"/>
        <w:jc w:val="both"/>
      </w:pPr>
      <w:r>
        <w:rPr>
          <w:rFonts w:ascii="Calibri" w:hAnsi="Calibri" w:eastAsia="Calibri" w:cs="Calibri"/>
          <w:color w:val="000000"/>
          <w:sz w:val="22"/>
          <w:szCs w:val="22"/>
        </w:rPr>
        <w:t xml:space="preserve">Root infestation by nematodes,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rice fields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Severe infestation and large galls can also be observed on weeds. In Italy, the weeds found infested (see Hosts) showed the same above-ground symptoms as rice plants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The symptoms of M. graminicola infestation are shown in the whole root system as characteristic swollen hook-shaped galls of different shapes and sizes, mainly at the root tips, which can also be club-shaped (Fanelli et al., 2017). Hook-shaped deformations are also typical of Meloidogyne oryzae, while Meloidogyne salasi produces oval or hook-shaped galls mainly restricted to the root tips (Sancho et al., 1987; López, 1991). Root infestation by nematodes, including M. graminicola, reduces the absorbent function of the roots leading to above-ground symptoms such as poor growth, stunting, leaf chlorosis, decreased leaf size, internode shortening, dwarfism, reduced tillering in cereal crops, delayed earhead emergence, poor/absent flowering, empty or poorly filled spikelets, and can lead to the death of plants in the case of exceptionally large-scale infestations (McClure, 1977; Bridge &amp; Page, 1982; Fanelli et al., 2017; Peng et al., 2018; Fanelli et al., 2022). In rice fields infested by M. graminicola, in early summer, the symptoms generally occur in patches in young plants prior to flooding, but may also present along a linear gradient, caused by the direction of cultural practices in the crop. In late summer and autumn, the above-ground symptoms may regress after flooding and application of fertiliser, because the patches can be covered by the vegetation of other rice plants. At this stage, rice fields can appear more uniform, but the infested plants show either a poor caryopsis production and empty spikelets or, in case of heavy infestation, they remain submerged and unable to elongate rapidly, causing plant death and leaving patches of open water in the flooded fields (Bridge &amp; Page, 1982; Peng et al., 2018). Severe infestation and large galls can also be observed on weeds. In Italy, the weeds found infested (see Hosts) showed the same above-ground symptoms as rice plants (Fanelli et al. 2017).</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description of males, females and J2s are reported in the EPPO Diagnostic Standard PM 7/158 (1)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2025) and in CABI Compendium, Datasheet 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(CABI, 2021).</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Inspection and d</w:t>
      </w:r>
      <w:r>
        <w:rPr>
          <w:rFonts w:ascii="Calibri" w:hAnsi="Calibri" w:eastAsia="Calibri" w:cs="Calibri"/>
          <w:b/>
          <w:bCs/>
          <w:color w:val="000000"/>
          <w:sz w:val="22"/>
          <w:szCs w:val="22"/>
        </w:rPr>
        <w:t xml:space="preserve">etection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field inspection</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Inspected areas should be chosen considering the biology of this species and its main hosts. Particular attention is needed in rice paddies and arable land close to infested areas. Fields have to be inspected from plant emergence to the end of tillering, verifying the presence of chlorotic patches and/or lack of plants and, in general, a poor growth of the crop. If above-ground symptoms are verified, visual inspection is carried out by uprooting symptomatic plants and verifying the presence of hook-shaped root galls, because the rice roots can contain many more nematodes than soil (Bridge &amp; Page,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Sampling</w:t>
      </w:r>
    </w:p>
    <w:p>
      <w:pPr>
        <w:widowControl w:val="on"/>
        <w:pBdr/>
        <w:spacing w:before="220" w:after="220" w:line="240" w:lineRule="auto"/>
        <w:ind w:left="0" w:right="0"/>
        <w:jc w:val="both"/>
      </w:pPr>
      <w:r>
        <w:rPr>
          <w:rFonts w:ascii="Calibri" w:hAnsi="Calibri" w:eastAsia="Calibri" w:cs="Calibri"/>
          <w:color w:val="000000"/>
          <w:sz w:val="22"/>
          <w:szCs w:val="22"/>
        </w:rPr>
        <w:t xml:space="preserve">15/20 symptomatic plants, including root systems and rhizosphere soil, are collected for laboratory analysis, with at least 5 g of roots showing galls and 200 mL of rhizosphere soil. In asymptomatic plots, 15/20 random plants with roots and adhering soil can be sampled in different points of each plot, forming a single sample for the nematological analysis. Samples should be kept moist in a plastic bag in cold conditions to keep nematodes alive as long as possible, especially when extraction methods based on motility will be used (EPPO, 2013; Italian NPPO, 2023).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Root-gall inspection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roots of rice plants are gently washed, dried and observed with the naked eye and under a stereomicroscope, to check for the characteristic swollen hook/club-shaped galls, mainly at the root tips.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Extraction</w:t>
      </w:r>
    </w:p>
    <w:p>
      <w:pPr>
        <w:widowControl w:val="on"/>
        <w:pBdr/>
        <w:spacing w:before="220" w:after="220" w:line="240" w:lineRule="auto"/>
        <w:ind w:left="0" w:right="0"/>
        <w:jc w:val="both"/>
      </w:pPr>
      <w:r>
        <w:rPr>
          <w:rFonts w:ascii="Calibri" w:hAnsi="Calibri" w:eastAsia="Calibri" w:cs="Calibri"/>
          <w:color w:val="000000"/>
          <w:sz w:val="22"/>
          <w:szCs w:val="22"/>
        </w:rPr>
        <w:t xml:space="preserve">To detect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soil/growing medium, roots or water, nematodes should be extracted first. Extraction methods are detailed in the EPPO Standards PM 7/119 Nematode extraction (EPPO, 2013) and PM 7/158 (EPPO, 2025).</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detailed in the EPPO Diagnostic Standard PM 7/158 (EPPO, 2025) and the diagnostic protocol of the European Union Reference Laboratory for Plant Parasitic Nematodes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associated with the roots of its host plants or with soil (or growing media). The natural spread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soil is limited to short distances towards roots, up to ca. 1-2 m per year (Tiilikkala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may also move locally with waterbirds, wind transporting soil, and surface water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2023). In paddy fields, passive transport may be facilitated by water flowing from one infested field to others nearby dispersing the pest over short and medium distances. Irrigation water is considered important for local spread but is considered to have a moderate role for spread of nematodes to new areas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number of infective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juveniles in the soil oscillates throughout the year (Win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High levels of infested volunteer rice plants, susceptible weeds and forage growing in rice fields represent a high risk of infestation and damage for the host crops in rotation, because they may also host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and allow nematodes to survive and reproduce in off-seasons without a rice crop (Medina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contributing to an increase in the population level in the soil and rice infestation in the following crop season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pathways for entry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into new areas are the following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EPPO, 2023): host plants for planting and bulbs, tubers, corms and rhizomes of host plants, intended for planting, with or without soil or growing media; soil or growing medium in which infested host plants have been grown (which may contain eggs, J2s and males); soil attached to equipment and agricultural machinery (EPPO, 2023); passengers coming from areas where the pest is present by means of soil attached to footwear. Rice production in many EPPO countries is currently based on direct seed sowing and not on the use of transplants, and in such cases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would not be introduced with infested rice plants. The pathway(s) which led to the introduction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Italy is/are not known. Fanelli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suggest, based on phylogenetic analysis, that the two Italian outbreaks are related to two different introductions.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data is mainly reported on rice and limited information is available for other hosts (EPPO, 2023).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 pest of international importance to rice around the world and is a major concern for yield loss due to nematode infestation in rice and wheat crops under rice–wheat cropping systems (MacGowan &amp; Langdon 1989; Jain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causing yield losses of up to 70% (Plowright &amp; Bridge, 1990;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In Asia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represents one of the major constraints in rice production due to rice cropping intensification and increasing scarcity of water supply (Prasad &amp; Somasekhar, 2009; Somasekhar &amp; Prasad, 2009). In fact, the practice of direct sowing or transplanting in wet conditions, intermittent regulated irrigation and soil aeration are all practices very favourable to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and economic losses (Prot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Soriano &amp; Reversat, 2003; Jain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Italy, in 2016, in Piedmont, one paddy field suffered a decrease of 30-40% in rice production, while in 2018 in Lombardy, the yield losses in infested fields reached 50% of ordinary rice production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Crop losses depend on the nematode population density, rice cultivation system (flooded or dry), environmental conditions and soil structure. Yield losses caused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are estimated in a range from 20% to 80% in upland rice and 11% to 73% in intermittently flooded conditions (Plowright &amp; Bridge, 1990;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upland rice, it is estimated to have a 2.6% decrease in grain yield for every 1000 J2s in the soil around young seedlings; while 10% loss in yield of upland rice is caused by population levels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of 120, 250 and 600 eggs/plant respectively at 10-, 30- and 60-days age of plants in direct seeded crops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Other investigations have shown that a nematode population higher than 1000 J2s/g rice root with 12-16 galls/plant, shows a 65% decrease in rice yield (Win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more than 75% roots infested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causes a decline in rice yield (Nugaliyadde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Furthermore, in a paddy field, these losses may be increased if combined with other biotic or abiotic stresses, such as drought.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observed that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infestation could often be underestimated, with the atypical above-ground symptoms wrongly attributed to nutritional and water-associated disorders or to secondary diseases.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studies verified that different rice cultivars subjected to the same nematode pressure, has different levels of infestation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(Amarasinghe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Amarasinghe, 2011). In addition, different nematode populations showed a different harmfulness towards the same rice variety, suggesting intraspecific variability and the existence of different races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Bellafiore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No information is available 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damage in protected conditions, but host experiments conducted in greenhouses on rice, weeds, vegetables and ornamental plants show that the pest can develop in protected conditions (Yik &amp; Birchfield, 1979), showing a decrease in rice yield of 17% to 80% (Tandingan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 host range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and its ability to survive for long periods in environments with low oxygen content, make its control difficult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Indeed, it has been observed that waterlogged conditions in either direct seeded or transplanted rice had no effects on the survival of the endoparasitic stages (Prasad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Increasing soil fertility can compensate for some damage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Some cultivars from India, Thailand and the USA are reported to be resistant to this nematode (Bridge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although resistance may vary with the water regime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screening of germplasm for resistant/tolerant genotypes, identification of sources of resistance in wild accessions of rice and the development of resistant/tolerant cultivars seem promising for an effective and economic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(Dutta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Pokharel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Kumari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damage induced by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lower under flooding than in shallow intermittently flooded fields (Mantelin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Early flooding after sowing prevents or limits root invasion by this nematode (Bridge &amp; Page, 1982) and promotes the establishment of the rice crop, minimizing yield losses due to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irrigated and wet seeded rice. Continuous flooding during either the whole rice growth season until harvesting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or even up to 18 months, seems to be one of the most effective technique in controlling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population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as observed in Vietnam (Dang-ngoc Kinh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in Italy, where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reported a flooding period at least from spring to the following winter as being effective. Nevertheless, some limitations in the application of this method are due to the poor water retention capacity of sandy, sandy-silty and loamy soils, which represent the most favourable soil categories for the development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species (Braasch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Soriano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The infested Italian rice fields mainly have coarse and medium soils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prolonged flooding is very difficult to apply.</w:t>
      </w:r>
    </w:p>
    <w:p>
      <w:pPr>
        <w:widowControl w:val="on"/>
        <w:pBdr/>
        <w:spacing w:before="220" w:after="220" w:line="240" w:lineRule="auto"/>
        <w:ind w:left="0" w:right="0"/>
        <w:jc w:val="both"/>
      </w:pPr>
      <w:r>
        <w:rPr>
          <w:rFonts w:ascii="Calibri" w:hAnsi="Calibri" w:eastAsia="Calibri" w:cs="Calibri"/>
          <w:color w:val="000000"/>
          <w:sz w:val="22"/>
          <w:szCs w:val="22"/>
        </w:rPr>
        <w:t xml:space="preserve">In infested fields, removal of infested volunteer rice plants and host weeds in a weed management programme (Padgham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Rusique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crop rotation with non-host or poor host crops (e.g. castor, cowpea, soybean, sunflower, sesame, onion, turnip, common bean)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help to decrease nematode populations to low levels.</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dry rice crops is generally uneconomic and, furthermore, the existing effective chemical nematicides are now banned at least in the European Union. Recent studies have investigated other possible control methods (Dallavalle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Chavan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The cultivation of rice plants as trap-crops is one of the most promising and effective practices suggested to the farmers for the management of the rice root-knot nematode, especially in the rice-growing areas with water shortages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Many biological control agents attack root-knot nematodes (Kerry, 1987) including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such as the bacteria </w:t>
      </w:r>
      <w:r>
        <w:rPr>
          <w:rFonts w:ascii="Calibri" w:hAnsi="Calibri" w:eastAsia="Calibri" w:cs="Calibri"/>
          <w:i/>
          <w:iCs/>
          <w:color w:val="000000"/>
          <w:sz w:val="22"/>
          <w:szCs w:val="22"/>
        </w:rPr>
        <w:t xml:space="preserve">Bacillus megaterium</w:t>
      </w:r>
      <w:r>
        <w:rPr>
          <w:rFonts w:ascii="Calibri" w:hAnsi="Calibri" w:eastAsia="Calibri" w:cs="Calibri"/>
          <w:color w:val="000000"/>
          <w:sz w:val="22"/>
          <w:szCs w:val="22"/>
        </w:rPr>
        <w:t xml:space="preserve"> (Padgham &amp; Sikora, 2007),</w:t>
      </w:r>
      <w:r>
        <w:rPr>
          <w:rFonts w:ascii="Calibri" w:hAnsi="Calibri" w:eastAsia="Calibri" w:cs="Calibri"/>
          <w:i/>
          <w:iCs/>
          <w:color w:val="000000"/>
          <w:sz w:val="22"/>
          <w:szCs w:val="22"/>
        </w:rPr>
        <w:t xml:space="preserve"> Bacillus subtilis</w:t>
      </w:r>
      <w:r>
        <w:rPr>
          <w:rFonts w:ascii="Calibri" w:hAnsi="Calibri" w:eastAsia="Calibri" w:cs="Calibri"/>
          <w:color w:val="000000"/>
          <w:sz w:val="22"/>
          <w:szCs w:val="22"/>
        </w:rPr>
        <w:t xml:space="preserve"> and the rhizobacterium </w:t>
      </w:r>
      <w:r>
        <w:rPr>
          <w:rFonts w:ascii="Calibri" w:hAnsi="Calibri" w:eastAsia="Calibri" w:cs="Calibri"/>
          <w:i/>
          <w:iCs/>
          <w:color w:val="000000"/>
          <w:sz w:val="22"/>
          <w:szCs w:val="22"/>
        </w:rPr>
        <w:t xml:space="preserve">Pseudomonas fluorescence</w:t>
      </w:r>
      <w:r>
        <w:rPr>
          <w:rFonts w:ascii="Calibri" w:hAnsi="Calibri" w:eastAsia="Calibri" w:cs="Calibri"/>
          <w:color w:val="000000"/>
          <w:sz w:val="22"/>
          <w:szCs w:val="22"/>
        </w:rPr>
        <w:t xml:space="preserve">; the fungi </w:t>
      </w:r>
      <w:r>
        <w:rPr>
          <w:rFonts w:ascii="Calibri" w:hAnsi="Calibri" w:eastAsia="Calibri" w:cs="Calibri"/>
          <w:i/>
          <w:iCs/>
          <w:color w:val="000000"/>
          <w:sz w:val="22"/>
          <w:szCs w:val="22"/>
        </w:rPr>
        <w:t xml:space="preserve">Trichoderma harzianum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viride</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Trichoderma</w:t>
      </w:r>
      <w:r>
        <w:rPr>
          <w:rFonts w:ascii="Calibri" w:hAnsi="Calibri" w:eastAsia="Calibri" w:cs="Calibri"/>
          <w:color w:val="000000"/>
          <w:sz w:val="22"/>
          <w:szCs w:val="22"/>
        </w:rPr>
        <w:t xml:space="preserve"> spp. (Huong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Amarasinghe &amp; Hemachandra, 2020), </w:t>
      </w:r>
      <w:r>
        <w:rPr>
          <w:rFonts w:ascii="Calibri" w:hAnsi="Calibri" w:eastAsia="Calibri" w:cs="Calibri"/>
          <w:i/>
          <w:iCs/>
          <w:color w:val="000000"/>
          <w:sz w:val="22"/>
          <w:szCs w:val="22"/>
        </w:rPr>
        <w:t xml:space="preserve">Purpureocillium lilacinum</w:t>
      </w:r>
      <w:r>
        <w:rPr>
          <w:rFonts w:ascii="Calibri" w:hAnsi="Calibri" w:eastAsia="Calibri" w:cs="Calibri"/>
          <w:color w:val="000000"/>
          <w:sz w:val="22"/>
          <w:szCs w:val="22"/>
        </w:rPr>
        <w:t xml:space="preserve"> (sin. </w:t>
      </w:r>
      <w:r>
        <w:rPr>
          <w:rFonts w:ascii="Calibri" w:hAnsi="Calibri" w:eastAsia="Calibri" w:cs="Calibri"/>
          <w:i/>
          <w:iCs/>
          <w:color w:val="000000"/>
          <w:sz w:val="22"/>
          <w:szCs w:val="22"/>
        </w:rPr>
        <w:t xml:space="preserve">Paecilomyces lilacinus</w:t>
      </w:r>
      <w:r>
        <w:rPr>
          <w:rFonts w:ascii="Calibri" w:hAnsi="Calibri" w:eastAsia="Calibri" w:cs="Calibri"/>
          <w:color w:val="000000"/>
          <w:sz w:val="22"/>
          <w:szCs w:val="22"/>
        </w:rPr>
        <w:t xml:space="preserve">) (Haque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r>
        <w:rPr>
          <w:rFonts w:ascii="Calibri" w:hAnsi="Calibri" w:eastAsia="Calibri" w:cs="Calibri"/>
          <w:i/>
          <w:iCs/>
          <w:color w:val="000000"/>
          <w:sz w:val="22"/>
          <w:szCs w:val="22"/>
        </w:rPr>
        <w:t xml:space="preserve"> Arthrobotrys oligospora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Dactylaria eudermata</w:t>
      </w:r>
      <w:r>
        <w:rPr>
          <w:rFonts w:ascii="Calibri" w:hAnsi="Calibri" w:eastAsia="Calibri" w:cs="Calibri"/>
          <w:color w:val="000000"/>
          <w:sz w:val="22"/>
          <w:szCs w:val="22"/>
        </w:rPr>
        <w:t xml:space="preserve"> (Simon &amp; Anamika, 2011) but no specific organisms have been recommended for control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field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phytosanitary risk in the EPPO region is to areas where rice can be produced, and in such areas, climate will probably not be a limiting factor to the establishment of the pest (EPPO, 2023). It has already established in rice fields in limited areas of northern Italy, in Piedmont and Lombardy. Other EPPO countries have substantial rice growing areas (EPPO, 2023). In addition,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able to infest many plant species belonging to different families (mainly Poaceae but also Asteraceae, Cucurbitaceae, Fabaceae, Solanaceae) including economically important crops grown in rotation with rice in the EPPO region, such as barley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maize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oat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and wheat (</w:t>
      </w:r>
      <w:r>
        <w:rPr>
          <w:rFonts w:ascii="Calibri" w:hAnsi="Calibri" w:eastAsia="Calibri" w:cs="Calibri"/>
          <w:i/>
          <w:iCs/>
          <w:color w:val="000000"/>
          <w:sz w:val="22"/>
          <w:szCs w:val="22"/>
        </w:rPr>
        <w:t xml:space="preserve">Triticum</w:t>
      </w:r>
      <w:r>
        <w:rPr>
          <w:rFonts w:ascii="Calibri" w:hAnsi="Calibri" w:eastAsia="Calibri" w:cs="Calibri"/>
          <w:color w:val="000000"/>
          <w:sz w:val="22"/>
          <w:szCs w:val="22"/>
        </w:rPr>
        <w:t xml:space="preserve"> sp.) or in clover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T. repens</w:t>
      </w:r>
      <w:r>
        <w:rPr>
          <w:rFonts w:ascii="Calibri" w:hAnsi="Calibri" w:eastAsia="Calibri" w:cs="Calibri"/>
          <w:color w:val="000000"/>
          <w:sz w:val="22"/>
          <w:szCs w:val="22"/>
        </w:rPr>
        <w:t xml:space="preserve">) which is often used in rotation. Other economically important hosts of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in the EPPO region are for example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onion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cabbage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ryegrass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pea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broad bean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report on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(EPPO, 2023) recommends phytosanitary measures for several pathways. Options for rice plants for planting with roots (with or without soil or growing media) include pest free area, pest-free place of production, pest-free production site, and consignment freedom based on inspection and testing of asymptomatic plants after harvest. Soil (on its own) should come from a pest free area, pest-free place of production or pest-free production site, or be treated. Used equipment and machinery should be cleaned (ISPM 41 – FAO, 2017). Public awareness and cleaning of footwear are relevant options in relation to passengers (EPPO,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EU, </w:t>
      </w:r>
      <w:r>
        <w:rPr>
          <w:rFonts w:ascii="Calibri" w:hAnsi="Calibri" w:eastAsia="Calibri" w:cs="Calibri"/>
          <w:i/>
          <w:iCs/>
          <w:color w:val="000000"/>
          <w:sz w:val="22"/>
          <w:szCs w:val="22"/>
        </w:rPr>
        <w:t xml:space="preserve">M. graminicola</w:t>
      </w:r>
      <w:r>
        <w:rPr>
          <w:rFonts w:ascii="Calibri" w:hAnsi="Calibri" w:eastAsia="Calibri" w:cs="Calibri"/>
          <w:color w:val="000000"/>
          <w:sz w:val="22"/>
          <w:szCs w:val="22"/>
        </w:rPr>
        <w:t xml:space="preserve"> is subject to the emergency measures established by the Commission Implementing Regulation (EU) 2022/1372 amended in 2025 (European Commission, 2022 and 2025). In cases of outbreaks, measures aim to control the spread and to minimise yield losses, such as: intensive sampling and testing of soil and all host plants in the infested area and in buffer zones (100 m around an infested area); cleaning of equipment and machinery, tools and footwear moving from an infested field to the neighbouring ones; uprooting and destruction of infested plants; prohibition of growing host plants in infested areas; periodic elimination of host weeds; not moving infested material out of the infested area, including both host and non-host plants with roots grown in infested soil; flooding rice field for a long time, possibly more than 18 months (Torrini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rice plants cultivated as trap-crops in three cycles for about two months (Sacchi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0" w:after="0" w:line="240" w:lineRule="auto"/>
        <w:ind w:left="0" w:right="0"/>
        <w:jc w:val="left"/>
      </w:pPr>
      <w:r>
        <w:rPr>
          <w:rFonts w:ascii="Calibri" w:hAnsi="Calibri" w:eastAsia="Calibri" w:cs="Calibri"/>
          <w:color w:val="000000"/>
          <w:sz w:val="22"/>
          <w:szCs w:val="22"/>
        </w:rPr>
        <w:t xml:space="preserve">Amarasinghe LD &amp; Hemachandra KHDJK (2020)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infestation in selected Sri Lankan rice varieties,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and nemato-toxic effect of </w:t>
      </w:r>
      <w:r>
        <w:rPr>
          <w:rFonts w:ascii="Calibri" w:hAnsi="Calibri" w:eastAsia="Calibri" w:cs="Calibri"/>
          <w:i/>
          <w:iCs/>
          <w:color w:val="000000"/>
          <w:sz w:val="22"/>
          <w:szCs w:val="22"/>
        </w:rPr>
        <w:t xml:space="preserve">Trichoderma viride</w:t>
      </w:r>
      <w:r>
        <w:rPr>
          <w:rFonts w:ascii="Calibri" w:hAnsi="Calibri" w:eastAsia="Calibri" w:cs="Calibri"/>
          <w:color w:val="000000"/>
          <w:sz w:val="22"/>
          <w:szCs w:val="22"/>
        </w:rPr>
        <w:t xml:space="preserve"> to reduce infectivity.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18–34. </w:t>
      </w:r>
      <w:hyperlink r:id="rId57816ac634a8178f7" w:history="1">
        <w:r>
          <w:rPr>
            <w:rFonts w:ascii="Calibri" w:hAnsi="Calibri" w:eastAsia="Calibri" w:cs="Calibri"/>
            <w:color w:val="0000CC"/>
            <w:sz w:val="22"/>
            <w:szCs w:val="22"/>
            <w:u w:val="single"/>
          </w:rPr>
          <w:t xml:space="preserve">https://doi.org/10.4038/josuk.v13i0.8021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Amarasinghe LD (2011) An integrated approached to the management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SriLanka.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55–63. </w:t>
      </w:r>
      <w:hyperlink r:id="rId87506ac634a817996" w:history="1">
        <w:r>
          <w:rPr>
            <w:rFonts w:ascii="Calibri" w:hAnsi="Calibri" w:eastAsia="Calibri" w:cs="Calibri"/>
            <w:color w:val="0000CC"/>
            <w:sz w:val="22"/>
            <w:szCs w:val="22"/>
            <w:u w:val="single"/>
          </w:rPr>
          <w:t xml:space="preserve">http://dx.doi.org/10.4038/josuk.v6i0.4221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Amarasinghe LD, Kariyapperuma KADPS &amp; Pathirana HNI (2007) Study on approaches to integrated control of </w:t>
      </w:r>
      <w:r>
        <w:rPr>
          <w:rFonts w:ascii="Calibri" w:hAnsi="Calibri" w:eastAsia="Calibri" w:cs="Calibri"/>
          <w:i/>
          <w:iCs/>
          <w:color w:val="000000"/>
          <w:sz w:val="22"/>
          <w:szCs w:val="22"/>
        </w:rPr>
        <w:t xml:space="preserve">Meloidogyne </w:t>
      </w:r>
      <w:r>
        <w:rPr>
          <w:rFonts w:ascii="Calibri" w:hAnsi="Calibri" w:eastAsia="Calibri" w:cs="Calibri"/>
          <w:i/>
          <w:iCs/>
          <w:color w:val="000000"/>
          <w:sz w:val="22"/>
          <w:szCs w:val="22"/>
        </w:rPr>
        <w:t xml:space="preserve">graminicola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Journal of Science of the University of Kelaniya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29–46. </w:t>
      </w:r>
      <w:hyperlink r:id="rId27806ac634a817a41" w:history="1">
        <w:r>
          <w:rPr>
            <w:rFonts w:ascii="Calibri" w:hAnsi="Calibri" w:eastAsia="Calibri" w:cs="Calibri"/>
            <w:color w:val="0000CC"/>
            <w:sz w:val="22"/>
            <w:szCs w:val="22"/>
            <w:u w:val="single"/>
          </w:rPr>
          <w:t xml:space="preserve">https://doi.org/10.4038/josuk.v3i0.2736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Bellafiore S, Jougla C, Chapuis E, Besnard G, Suong M, Vu PN, De Waele D, Gantet P &amp; Thi XN (2015) Intraspecific variability of the facultative meiotic parthenogenetic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from rice fields in Vietnam. </w:t>
      </w:r>
      <w:r>
        <w:rPr>
          <w:rFonts w:ascii="Calibri" w:hAnsi="Calibri" w:eastAsia="Calibri" w:cs="Calibri"/>
          <w:i/>
          <w:iCs/>
          <w:color w:val="000000"/>
          <w:sz w:val="22"/>
          <w:szCs w:val="22"/>
        </w:rPr>
        <w:t xml:space="preserve">Comptes rendus, Biologies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338</w:t>
      </w:r>
      <w:r>
        <w:rPr>
          <w:rFonts w:ascii="Calibri" w:hAnsi="Calibri" w:eastAsia="Calibri" w:cs="Calibri"/>
          <w:color w:val="000000"/>
          <w:sz w:val="22"/>
          <w:szCs w:val="22"/>
        </w:rPr>
        <w:t xml:space="preserve">(7), 471–483. </w:t>
      </w:r>
      <w:hyperlink r:id="rId66116ac634a817ad6" w:history="1">
        <w:r>
          <w:rPr>
            <w:rFonts w:ascii="Calibri" w:hAnsi="Calibri" w:eastAsia="Calibri" w:cs="Calibri"/>
            <w:color w:val="0000CC"/>
            <w:sz w:val="22"/>
            <w:szCs w:val="22"/>
            <w:u w:val="single"/>
          </w:rPr>
          <w:t xml:space="preserve">https://doi.org/10.1016/j.crvi.2015.04.002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Braasch H, Wittchen U &amp; Unger JG (1996) Establishment potential and damage probability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in Germany.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(3-4), 495–509. </w:t>
      </w:r>
      <w:hyperlink r:id="rId40286ac634a817b6c" w:history="1">
        <w:r>
          <w:rPr>
            <w:rFonts w:ascii="Calibri" w:hAnsi="Calibri" w:eastAsia="Calibri" w:cs="Calibri"/>
            <w:color w:val="0000CC"/>
            <w:sz w:val="22"/>
            <w:szCs w:val="22"/>
            <w:u w:val="single"/>
          </w:rPr>
          <w:t xml:space="preserve">https://doi.org/10.1111/j.1365-2338.1996.tb01492.x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Bridge J &amp; Page SJ (1982)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deep water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Revue de Nématologie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(2), 225–232.</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&amp; Starr JL (2007) Chapter 5 Cereals.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Plant Nematodes of Agricultural Importance. A Colour Handbook</w:t>
      </w:r>
      <w:r>
        <w:rPr>
          <w:rFonts w:ascii="Calibri" w:hAnsi="Calibri" w:eastAsia="Calibri" w:cs="Calibri"/>
          <w:color w:val="000000"/>
          <w:sz w:val="22"/>
          <w:szCs w:val="22"/>
        </w:rPr>
        <w:t xml:space="preserve"> (Ed. Bridge J &amp; Starr JL), pp. 52–60. Manson Publishing. USA FL: CRC Press. Taylor &amp; Francis Group.</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Luc M &amp; Plowright RA (1990)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ed. (Ed. Luc M, Sikora RA &amp; Bridge J), pp. 69–108. CAB International Institute of Parasitology, UK.</w:t>
      </w:r>
    </w:p>
    <w:p>
      <w:pPr>
        <w:widowControl w:val="on"/>
        <w:pBdr/>
        <w:spacing w:before="220" w:after="220" w:line="240" w:lineRule="auto"/>
        <w:ind w:left="0" w:right="0"/>
        <w:jc w:val="left"/>
      </w:pPr>
      <w:r>
        <w:rPr>
          <w:rFonts w:ascii="Calibri" w:hAnsi="Calibri" w:eastAsia="Calibri" w:cs="Calibri"/>
          <w:color w:val="000000"/>
          <w:sz w:val="22"/>
          <w:szCs w:val="22"/>
        </w:rPr>
        <w:t xml:space="preserve">Bridge J, Plowright RA &amp; Peng D (2005)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 (Ed. Luc M, Sikora RA &amp; Bridge J), pp. 87–130. CABI Publishing,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CABI International, Wallingford, UK. </w:t>
      </w:r>
      <w:hyperlink r:id="rId36886ac634a817dcb" w:history="1">
        <w:r>
          <w:rPr>
            <w:rFonts w:ascii="Calibri" w:hAnsi="Calibri" w:eastAsia="Calibri" w:cs="Calibri"/>
            <w:color w:val="0000CC"/>
            <w:sz w:val="22"/>
            <w:szCs w:val="22"/>
            <w:u w:val="single"/>
          </w:rPr>
          <w:t xml:space="preserve">https://doi.org/10.1079/cabicompendium.33243</w:t>
        </w:r>
      </w:hyperlink>
      <w:r>
        <w:rPr>
          <w:rFonts w:ascii="Calibri" w:hAnsi="Calibri" w:eastAsia="Calibri" w:cs="Calibri"/>
          <w:color w:val="000000"/>
          <w:sz w:val="22"/>
          <w:szCs w:val="22"/>
        </w:rPr>
        <w:t xml:space="preserve"> (Accessed on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Chavan SN, Tumpa FH, Khokon MAR &amp; Kyndt T (2023) Potential of exogenous treatment with Dehydroascorbate to control root-knot nematode infection in rice.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(29), 1–16. </w:t>
      </w:r>
      <w:hyperlink r:id="rId42836ac634a817e4d" w:history="1">
        <w:r>
          <w:rPr>
            <w:rFonts w:ascii="Calibri" w:hAnsi="Calibri" w:eastAsia="Calibri" w:cs="Calibri"/>
            <w:color w:val="0000CC"/>
            <w:sz w:val="22"/>
            <w:szCs w:val="22"/>
            <w:u w:val="single"/>
          </w:rPr>
          <w:t xml:space="preserve">https://doi.org/10.1186/s12284-023-00644-1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Dallavalle E, Curto G, Santi R, Matteo R &amp; Lazzeri L (2020) Host status of plant species with nematicidal activity against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(Golden &amp; Birchfield).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147–151. </w:t>
      </w:r>
      <w:hyperlink r:id="rId37496ac634a817ee1" w:history="1">
        <w:r>
          <w:rPr>
            <w:rFonts w:ascii="Calibri" w:hAnsi="Calibri" w:eastAsia="Calibri" w:cs="Calibri"/>
            <w:color w:val="0000CC"/>
            <w:sz w:val="22"/>
            <w:szCs w:val="22"/>
            <w:u w:val="single"/>
          </w:rPr>
          <w:t xml:space="preserve">http://dx.doi.org/10.19263/REDIA-103.20.23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Dang-ngoc Kinh, Huong NM &amp; Ut NV (1982) Root-knot disease of rice in the Mekong Delta, Vietnam.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(4), 15. </w:t>
      </w:r>
      <w:hyperlink r:id="rId56116ac634a817f53" w:history="1">
        <w:r>
          <w:rPr>
            <w:rFonts w:ascii="Calibri" w:hAnsi="Calibri" w:eastAsia="Calibri" w:cs="Calibri"/>
            <w:color w:val="0000CC"/>
            <w:sz w:val="22"/>
            <w:szCs w:val="22"/>
            <w:u w:val="single"/>
          </w:rPr>
          <w:t xml:space="preserve">https://doi.org/10.5281/zenodo.7303304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Dutta TK, Ganguly AK &amp; Gaur HS (2012) Global status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(31), 6016–6021. </w:t>
      </w:r>
      <w:hyperlink r:id="rId85996ac634a817fe7" w:history="1">
        <w:r>
          <w:rPr>
            <w:rFonts w:ascii="Calibri" w:hAnsi="Calibri" w:eastAsia="Calibri" w:cs="Calibri"/>
            <w:color w:val="0000CC"/>
            <w:sz w:val="22"/>
            <w:szCs w:val="22"/>
            <w:u w:val="single"/>
          </w:rPr>
          <w:t xml:space="preserve">https://doi.org/10.5897/AJMR12.707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 PM 7/119 (1). Nematode extraction.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w:t>
      </w:r>
      <w:hyperlink r:id="rId13416ac634a818058" w:history="1">
        <w:r>
          <w:rPr>
            <w:rFonts w:ascii="Calibri" w:hAnsi="Calibri" w:eastAsia="Calibri" w:cs="Calibri"/>
            <w:color w:val="0000CC"/>
            <w:sz w:val="22"/>
            <w:szCs w:val="22"/>
            <w:u w:val="single"/>
          </w:rPr>
          <w:t xml:space="preserve">https://doi.org/10.1111/epp.12077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(2018) Reporting Service n.10 (2018/196):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found in 2018 in 4 Rice Fields in Lombardia Region (Province of Pavia). </w:t>
      </w:r>
      <w:hyperlink r:id="rId51906ac634a8180af" w:history="1">
        <w:r>
          <w:rPr>
            <w:rFonts w:ascii="Calibri" w:hAnsi="Calibri" w:eastAsia="Calibri" w:cs="Calibri"/>
            <w:color w:val="0000CC"/>
            <w:sz w:val="22"/>
            <w:szCs w:val="22"/>
            <w:u w:val="single"/>
          </w:rPr>
          <w:t xml:space="preserve">https://gd.eppo.int/reporting/article-6390</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Report of a pest risk analysis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Paris. </w:t>
      </w:r>
      <w:hyperlink r:id="rId56366ac634a81811f" w:history="1">
        <w:r>
          <w:rPr>
            <w:rFonts w:ascii="Calibri" w:hAnsi="Calibri" w:eastAsia="Calibri" w:cs="Calibri"/>
            <w:color w:val="0000CC"/>
            <w:sz w:val="22"/>
            <w:szCs w:val="22"/>
            <w:u w:val="single"/>
          </w:rPr>
          <w:t xml:space="preserve">https://gd.eppo.int/taxon/MELGGC/documents</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Standard PM 7/158(1)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(Version of Record online: 06 January 2025), 1–24. </w:t>
      </w:r>
      <w:hyperlink r:id="rId93236ac634a81819f" w:history="1">
        <w:r>
          <w:rPr>
            <w:rFonts w:ascii="Calibri" w:hAnsi="Calibri" w:eastAsia="Calibri" w:cs="Calibri"/>
            <w:color w:val="0000CC"/>
            <w:sz w:val="22"/>
            <w:szCs w:val="22"/>
            <w:u w:val="single"/>
          </w:rPr>
          <w:t xml:space="preserve">https://doi.org/10.1111/epp.13054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(2022) Commission Implementing Regulation (EU) 2022/1372 of 5 August 2022 as regards temporary measures to prevent the entry into, the movement and spread within, the multiplication and release in the Union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(Golden &amp; Birchfield).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L </w:t>
      </w:r>
      <w:r>
        <w:rPr>
          <w:rFonts w:ascii="Calibri" w:hAnsi="Calibri" w:eastAsia="Calibri" w:cs="Calibri"/>
          <w:b/>
          <w:bCs/>
          <w:color w:val="000000"/>
          <w:sz w:val="22"/>
          <w:szCs w:val="22"/>
        </w:rPr>
        <w:t xml:space="preserve">206</w:t>
      </w:r>
      <w:r>
        <w:rPr>
          <w:rFonts w:ascii="Calibri" w:hAnsi="Calibri" w:eastAsia="Calibri" w:cs="Calibri"/>
          <w:color w:val="000000"/>
          <w:sz w:val="22"/>
          <w:szCs w:val="22"/>
        </w:rPr>
        <w:t xml:space="preserve">/16. </w:t>
      </w:r>
      <w:hyperlink r:id="rId45616ac634a818231" w:history="1">
        <w:r>
          <w:rPr>
            <w:rFonts w:ascii="Calibri" w:hAnsi="Calibri" w:eastAsia="Calibri" w:cs="Calibri"/>
            <w:color w:val="0000CC"/>
            <w:sz w:val="22"/>
            <w:szCs w:val="22"/>
            <w:u w:val="single"/>
          </w:rPr>
          <w:t xml:space="preserve">http://data.europa.eu/eli/reg_impl/2022/1372/oj</w:t>
        </w:r>
      </w:hyperlink>
    </w:p>
    <w:p>
      <w:pPr>
        <w:widowControl w:val="on"/>
        <w:pBdr/>
        <w:spacing w:before="0" w:after="0" w:line="240" w:lineRule="auto"/>
        <w:ind w:left="0" w:right="0"/>
        <w:jc w:val="left"/>
      </w:pPr>
      <w:r>
        <w:rPr>
          <w:rFonts w:ascii="Calibri" w:hAnsi="Calibri" w:eastAsia="Calibri" w:cs="Calibri"/>
          <w:color w:val="000000"/>
          <w:sz w:val="22"/>
          <w:szCs w:val="22"/>
        </w:rPr>
        <w:t xml:space="preserve">
European Commission (2025) Commission Implementing Regulation (EU) 2025/1076 of 2 June 2025 amending Implementing Regulation (EU) 2022/1372 as regards the period of application of the measures to prevent the entry into, the movement and spread within, the multiplication and release in the Union of</w:t>
      </w:r>
      <w:r>
        <w:rPr>
          <w:rFonts w:ascii="Calibri" w:hAnsi="Calibri" w:eastAsia="Calibri" w:cs="Calibri"/>
          <w:i/>
          <w:iCs/>
          <w:color w:val="000000"/>
          <w:sz w:val="22"/>
          <w:szCs w:val="22"/>
        </w:rPr>
        <w:t xml:space="preserve"> Meloidogyne graminicola (</w:t>
      </w:r>
      <w:r>
        <w:rPr>
          <w:rFonts w:ascii="Calibri" w:hAnsi="Calibri" w:eastAsia="Calibri" w:cs="Calibri"/>
          <w:color w:val="000000"/>
          <w:sz w:val="22"/>
          <w:szCs w:val="22"/>
        </w:rPr>
        <w:t xml:space="preserve">Golden &amp; Birchfield)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Official Journal of the European Union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2025/1076, </w:t>
      </w:r>
      <w:hyperlink r:id="rId18426ac634a8182c3" w:history="1">
        <w:r>
          <w:rPr>
            <w:rFonts w:ascii="Calibri" w:hAnsi="Calibri" w:eastAsia="Calibri" w:cs="Calibri"/>
            <w:color w:val="0000CC"/>
            <w:sz w:val="22"/>
            <w:szCs w:val="22"/>
            <w:u w:val="single"/>
          </w:rPr>
          <w:t xml:space="preserve">http://data.europa.eu/eli/reg_impl/2025/1076/oj</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br/>
        <w:t xml:space="preserve">European Union Reference Laboratory for Plant Parasitic Nematodes (2024) EURL Diagnostic Protocol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Morphological &amp; Molecular Methods (Version 1). Zenodo. 48 pp. </w:t>
      </w:r>
      <w:hyperlink r:id="rId42776ac634a818327" w:history="1">
        <w:r>
          <w:rPr>
            <w:rFonts w:ascii="Calibri" w:hAnsi="Calibri" w:eastAsia="Calibri" w:cs="Calibri"/>
            <w:color w:val="0000CC"/>
            <w:sz w:val="22"/>
            <w:szCs w:val="22"/>
            <w:u w:val="single"/>
          </w:rPr>
          <w:t xml:space="preserve">https://doi.org/10.5281/zenodo.14654535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Fanelli E, Cotroneo A, Carisio L, Troccoli A, Grosso S, Boero C, Capriglia F &amp; De Luca F (2017) Detection and molecular characterization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467–476. </w:t>
      </w:r>
      <w:hyperlink r:id="rId67386ac634a8183bc" w:history="1">
        <w:r>
          <w:rPr>
            <w:rFonts w:ascii="Calibri" w:hAnsi="Calibri" w:eastAsia="Calibri" w:cs="Calibri"/>
            <w:color w:val="0000CC"/>
            <w:sz w:val="22"/>
            <w:szCs w:val="22"/>
            <w:u w:val="single"/>
          </w:rPr>
          <w:t xml:space="preserve">https://doi.org/10.1007/s10658-017-1196-7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Fanelli E, Gaffuri F, Troccoli A, Sacchi S &amp; De Luca F (2022) New occurrence of </w:t>
      </w:r>
      <w:r>
        <w:rPr>
          <w:rFonts w:ascii="Calibri" w:hAnsi="Calibri" w:eastAsia="Calibri" w:cs="Calibri"/>
          <w:i/>
          <w:iCs/>
          <w:color w:val="000000"/>
          <w:sz w:val="22"/>
          <w:szCs w:val="22"/>
        </w:rPr>
        <w:t xml:space="preserve">Meloidogyne graminicola </w:t>
      </w:r>
      <w:r>
        <w:rPr>
          <w:rFonts w:ascii="Calibri" w:hAnsi="Calibri" w:eastAsia="Calibri" w:cs="Calibri"/>
          <w:color w:val="000000"/>
          <w:sz w:val="22"/>
          <w:szCs w:val="22"/>
        </w:rPr>
        <w:t xml:space="preserve">(Nematoda: Meloidogyninae) from rice fields in Italy: Variability and phylogenetic relationships. </w:t>
      </w:r>
      <w:r>
        <w:rPr>
          <w:rFonts w:ascii="Calibri" w:hAnsi="Calibri" w:eastAsia="Calibri" w:cs="Calibri"/>
          <w:i/>
          <w:iCs/>
          <w:color w:val="000000"/>
          <w:sz w:val="22"/>
          <w:szCs w:val="22"/>
        </w:rPr>
        <w:t xml:space="preserve">Ecology and Evolution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(9), 1–14. </w:t>
      </w:r>
      <w:hyperlink r:id="rId58906ac634a818441" w:history="1">
        <w:r>
          <w:rPr>
            <w:rFonts w:ascii="Calibri" w:hAnsi="Calibri" w:eastAsia="Calibri" w:cs="Calibri"/>
            <w:color w:val="0000CC"/>
            <w:sz w:val="22"/>
            <w:szCs w:val="22"/>
            <w:u w:val="single"/>
          </w:rPr>
          <w:t xml:space="preserve">https://doi.org/10.1002/ece3.9326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 International movement of used vehicles, machinery and equipment. International Standard for Phytosanitary Measures (ISPM) no. 41. International Plant Protection Convention, Food and Agriculture Organization of the United Nations. 11 pp.</w:t>
      </w:r>
    </w:p>
    <w:p>
      <w:pPr>
        <w:widowControl w:val="on"/>
        <w:pBdr/>
        <w:spacing w:before="220" w:after="220" w:line="240" w:lineRule="auto"/>
        <w:ind w:left="0" w:right="0"/>
        <w:jc w:val="left"/>
      </w:pPr>
      <w:r>
        <w:rPr>
          <w:rFonts w:ascii="Calibri" w:hAnsi="Calibri" w:eastAsia="Calibri" w:cs="Calibri"/>
          <w:color w:val="000000"/>
          <w:sz w:val="22"/>
          <w:szCs w:val="22"/>
        </w:rPr>
        <w:t xml:space="preserve">Gaur HS (2003) Root-knot disease of rice and wheat: problem and management. </w:t>
      </w:r>
      <w:r>
        <w:rPr>
          <w:rFonts w:ascii="Calibri" w:hAnsi="Calibri" w:eastAsia="Calibri" w:cs="Calibri"/>
          <w:i/>
          <w:iCs/>
          <w:color w:val="000000"/>
          <w:sz w:val="22"/>
          <w:szCs w:val="22"/>
        </w:rPr>
        <w:t xml:space="preserve">IARI, New Delhi Technical Bulletin</w:t>
      </w:r>
      <w:r>
        <w:rPr>
          <w:rFonts w:ascii="Calibri" w:hAnsi="Calibri" w:eastAsia="Calibri" w:cs="Calibri"/>
          <w:color w:val="000000"/>
          <w:sz w:val="22"/>
          <w:szCs w:val="22"/>
        </w:rPr>
        <w:t xml:space="preserve"> 23 pp. (TB – ICN: 1/2003).</w:t>
      </w:r>
    </w:p>
    <w:p>
      <w:pPr>
        <w:widowControl w:val="on"/>
        <w:pBdr/>
        <w:spacing w:before="220" w:after="220" w:line="240" w:lineRule="auto"/>
        <w:ind w:left="0" w:right="0"/>
        <w:jc w:val="left"/>
      </w:pPr>
      <w:r>
        <w:rPr>
          <w:rFonts w:ascii="Calibri" w:hAnsi="Calibri" w:eastAsia="Calibri" w:cs="Calibri"/>
          <w:color w:val="000000"/>
          <w:sz w:val="22"/>
          <w:szCs w:val="22"/>
        </w:rPr>
        <w:t xml:space="preserve">Gheysen G &amp; Mitchum MG (2011) How nematodes manipulate plant development pathways for infection. </w:t>
      </w:r>
      <w:r>
        <w:rPr>
          <w:rFonts w:ascii="Calibri" w:hAnsi="Calibri" w:eastAsia="Calibri" w:cs="Calibri"/>
          <w:i/>
          <w:iCs/>
          <w:color w:val="000000"/>
          <w:sz w:val="22"/>
          <w:szCs w:val="22"/>
        </w:rPr>
        <w:t xml:space="preserve">Current Opinion in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(4), 415–421. https:/doi.org/10.1016/j.pbi.2011.03.012</w:t>
      </w:r>
    </w:p>
    <w:p>
      <w:pPr>
        <w:widowControl w:val="on"/>
        <w:pBdr/>
        <w:spacing w:before="220" w:after="220" w:line="240" w:lineRule="auto"/>
        <w:ind w:left="0" w:right="0"/>
        <w:jc w:val="left"/>
      </w:pPr>
      <w:r>
        <w:rPr>
          <w:rFonts w:ascii="Calibri" w:hAnsi="Calibri" w:eastAsia="Calibri" w:cs="Calibri"/>
          <w:color w:val="000000"/>
          <w:sz w:val="22"/>
          <w:szCs w:val="22"/>
        </w:rPr>
        <w:t xml:space="preserve">Golden AM &amp; Birchfield W (1965)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(Heteroderidae), a new species of root-knot nematode from grass. </w:t>
      </w:r>
      <w:r>
        <w:rPr>
          <w:rFonts w:ascii="Calibri" w:hAnsi="Calibri" w:eastAsia="Calibri" w:cs="Calibri"/>
          <w:i/>
          <w:iCs/>
          <w:color w:val="000000"/>
          <w:sz w:val="22"/>
          <w:szCs w:val="22"/>
        </w:rPr>
        <w:t xml:space="preserve">Proceedings of the Helminthological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(2), 228–231.</w:t>
      </w:r>
    </w:p>
    <w:p>
      <w:pPr>
        <w:widowControl w:val="on"/>
        <w:pBdr/>
        <w:spacing w:before="220" w:after="220" w:line="240" w:lineRule="auto"/>
        <w:ind w:left="0" w:right="0"/>
        <w:jc w:val="left"/>
      </w:pPr>
      <w:r>
        <w:rPr>
          <w:rFonts w:ascii="Calibri" w:hAnsi="Calibri" w:eastAsia="Calibri" w:cs="Calibri"/>
          <w:color w:val="000000"/>
          <w:sz w:val="22"/>
          <w:szCs w:val="22"/>
        </w:rPr>
        <w:t xml:space="preserve">Haque Z, Khan MR &amp; Ahamad F (2018) Relative antagonistic potential of some rhizosphere biocontrol agents for the management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109–116. </w:t>
      </w:r>
      <w:hyperlink r:id="rId80296ac634a818624" w:history="1">
        <w:r>
          <w:rPr>
            <w:rFonts w:ascii="Calibri" w:hAnsi="Calibri" w:eastAsia="Calibri" w:cs="Calibri"/>
            <w:color w:val="0000CC"/>
            <w:sz w:val="22"/>
            <w:szCs w:val="22"/>
            <w:u w:val="single"/>
          </w:rPr>
          <w:t xml:space="preserve">https://doi.org/10.1016/j.biocontrol.2018.07.018</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Huong TTL, Padgham JL &amp; Sikora RA (2009) Biological control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using endophytic and rhizosphere fungi.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 31–36. </w:t>
      </w:r>
      <w:hyperlink r:id="rId67186ac634a8186c6" w:history="1">
        <w:r>
          <w:rPr>
            <w:rFonts w:ascii="Calibri" w:hAnsi="Calibri" w:eastAsia="Calibri" w:cs="Calibri"/>
            <w:color w:val="0000CC"/>
            <w:sz w:val="22"/>
            <w:szCs w:val="22"/>
            <w:u w:val="single"/>
          </w:rPr>
          <w:t xml:space="preserve">https://doi.org/10.1080/09670870802450235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Israel P, Rao YS &amp; Rao YRVJ (1963) Investigations on nematodes in rice and rice soils.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125-127.</w:t>
      </w:r>
    </w:p>
    <w:p>
      <w:pPr>
        <w:widowControl w:val="on"/>
        <w:pBdr/>
        <w:spacing w:before="220" w:after="220" w:line="240" w:lineRule="auto"/>
        <w:ind w:left="0" w:right="0"/>
        <w:jc w:val="left"/>
      </w:pPr>
      <w:r>
        <w:rPr>
          <w:rFonts w:ascii="Calibri" w:hAnsi="Calibri" w:eastAsia="Calibri" w:cs="Calibri"/>
          <w:color w:val="000000"/>
          <w:sz w:val="22"/>
          <w:szCs w:val="22"/>
        </w:rPr>
        <w:t xml:space="preserve">Italian NPPO (2023) Scheda tecnica per indagini sull’organismo nocivo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Servizio Fitosanitario Nazionale. Documenti Tecnici Ufficiali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1–19. </w:t>
      </w:r>
      <w:hyperlink r:id="rId49276ac634a8187b7" w:history="1">
        <w:r>
          <w:rPr>
            <w:rFonts w:ascii="Calibri" w:hAnsi="Calibri" w:eastAsia="Calibri" w:cs="Calibri"/>
            <w:color w:val="0000CC"/>
            <w:sz w:val="22"/>
            <w:szCs w:val="22"/>
            <w:u w:val="single"/>
          </w:rPr>
          <w:t xml:space="preserve">https://www.protezionedellepiante.it/wp-content/uploads/2023/07/dtu-n.-43-melggc_signed.pdf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Jain RK, Khan MR &amp; Kumar V (2012)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infestation in rice. </w:t>
      </w:r>
      <w:r>
        <w:rPr>
          <w:rFonts w:ascii="Calibri" w:hAnsi="Calibri" w:eastAsia="Calibri" w:cs="Calibri"/>
          <w:i/>
          <w:iCs/>
          <w:color w:val="000000"/>
          <w:sz w:val="22"/>
          <w:szCs w:val="22"/>
        </w:rPr>
        <w:t xml:space="preserve">Archives of Phytopathology 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(6), 635–645. </w:t>
      </w:r>
      <w:hyperlink r:id="rId47036ac634a818856" w:history="1">
        <w:r>
          <w:rPr>
            <w:rFonts w:ascii="Calibri" w:hAnsi="Calibri" w:eastAsia="Calibri" w:cs="Calibri"/>
            <w:color w:val="0000CC"/>
            <w:sz w:val="22"/>
            <w:szCs w:val="22"/>
            <w:u w:val="single"/>
          </w:rPr>
          <w:t xml:space="preserve">http://dx.doi.org/10.1080/03235408.2011.588059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Kerry BR (1987) Biological control. In: </w:t>
      </w:r>
      <w:r>
        <w:rPr>
          <w:rFonts w:ascii="Calibri" w:hAnsi="Calibri" w:eastAsia="Calibri" w:cs="Calibri"/>
          <w:i/>
          <w:iCs/>
          <w:color w:val="000000"/>
          <w:sz w:val="22"/>
          <w:szCs w:val="22"/>
        </w:rPr>
        <w:t xml:space="preserve">Principles and practice of nematode control in crops</w:t>
      </w:r>
      <w:r>
        <w:rPr>
          <w:rFonts w:ascii="Calibri" w:hAnsi="Calibri" w:eastAsia="Calibri" w:cs="Calibri"/>
          <w:color w:val="000000"/>
          <w:sz w:val="22"/>
          <w:szCs w:val="22"/>
        </w:rPr>
        <w:t xml:space="preserve"> (Ed. Brown RH &amp; Kerry BR) pp. 233–263. 447 pp. Academic Press Australia, Marrickville, NSW, Australia.</w:t>
      </w:r>
    </w:p>
    <w:p>
      <w:pPr>
        <w:widowControl w:val="on"/>
        <w:pBdr/>
        <w:spacing w:before="220" w:after="220" w:line="240" w:lineRule="auto"/>
        <w:ind w:left="0" w:right="0"/>
        <w:jc w:val="left"/>
      </w:pPr>
      <w:r>
        <w:rPr>
          <w:rFonts w:ascii="Calibri" w:hAnsi="Calibri" w:eastAsia="Calibri" w:cs="Calibri"/>
          <w:color w:val="000000"/>
          <w:sz w:val="22"/>
          <w:szCs w:val="22"/>
        </w:rPr>
        <w:t xml:space="preserve">Khan MR, Jain RK, Ghule TM &amp; Pal S (2014) Root knot nematodes in India - a comprehensive monograph. </w:t>
      </w:r>
      <w:r>
        <w:rPr>
          <w:rFonts w:ascii="Calibri" w:hAnsi="Calibri" w:eastAsia="Calibri" w:cs="Calibri"/>
          <w:i/>
          <w:iCs/>
          <w:color w:val="000000"/>
          <w:sz w:val="22"/>
          <w:szCs w:val="22"/>
        </w:rPr>
        <w:t xml:space="preserve">All India Coordinated Research Project on Plant Parasitic nematodes with Integrated approach for their Control</w:t>
      </w:r>
      <w:r>
        <w:rPr>
          <w:rFonts w:ascii="Calibri" w:hAnsi="Calibri" w:eastAsia="Calibri" w:cs="Calibri"/>
          <w:color w:val="000000"/>
          <w:sz w:val="22"/>
          <w:szCs w:val="22"/>
        </w:rPr>
        <w:t xml:space="preserve">. Indian Agricultural Research Institute, New Delhi. pp. 78 + 29 plates.Kumari C, Dutta TK, Banakar P &amp; Rao U (2016)Comparing the defence-related gene expression changes upon root-knot nematode attack in susceptible versus resistant cultivars of rice.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22846. </w:t>
      </w:r>
      <w:hyperlink r:id="rId14576ac634a81893b" w:history="1">
        <w:r>
          <w:rPr>
            <w:rFonts w:ascii="Calibri" w:hAnsi="Calibri" w:eastAsia="Calibri" w:cs="Calibri"/>
            <w:color w:val="0000CC"/>
            <w:sz w:val="22"/>
            <w:szCs w:val="22"/>
            <w:u w:val="single"/>
          </w:rPr>
          <w:t xml:space="preserve">https://doi.org/10.1038/srep22846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Kyndt T, Denil S, Haegeman A, Trooskens G, Bauters L, Van Criekinge W, De Meyer T &amp; Gheysen G (2012) Transcriptional reprogramming by root-knot and migratory nematode infection in rice. </w:t>
      </w:r>
      <w:r>
        <w:rPr>
          <w:rFonts w:ascii="Calibri" w:hAnsi="Calibri" w:eastAsia="Calibri" w:cs="Calibri"/>
          <w:i/>
          <w:iCs/>
          <w:color w:val="000000"/>
          <w:sz w:val="22"/>
          <w:szCs w:val="22"/>
        </w:rPr>
        <w:t xml:space="preserve">New Phytologist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196</w:t>
      </w:r>
      <w:r>
        <w:rPr>
          <w:rFonts w:ascii="Calibri" w:hAnsi="Calibri" w:eastAsia="Calibri" w:cs="Calibri"/>
          <w:color w:val="000000"/>
          <w:sz w:val="22"/>
          <w:szCs w:val="22"/>
        </w:rPr>
        <w:t xml:space="preserve">(3), 887–900. </w:t>
      </w:r>
      <w:hyperlink r:id="rId42766ac634a8189ae" w:history="1">
        <w:r>
          <w:rPr>
            <w:rFonts w:ascii="Calibri" w:hAnsi="Calibri" w:eastAsia="Calibri" w:cs="Calibri"/>
            <w:color w:val="0000CC"/>
            <w:sz w:val="22"/>
            <w:szCs w:val="22"/>
            <w:u w:val="single"/>
          </w:rPr>
          <w:t xml:space="preserve">https://doi.org/10.1111/j.1469-8137.2012.04311.x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López R (1991) Primer hallazgo de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en arroz en la provincia de Guanacaste. </w:t>
      </w:r>
      <w:r>
        <w:rPr>
          <w:rFonts w:ascii="Calibri" w:hAnsi="Calibri" w:eastAsia="Calibri" w:cs="Calibri"/>
          <w:i/>
          <w:iCs/>
          <w:color w:val="000000"/>
          <w:sz w:val="22"/>
          <w:szCs w:val="22"/>
        </w:rPr>
        <w:t xml:space="preserve">Agronomía Costarricense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189–191. </w:t>
      </w:r>
      <w:hyperlink r:id="rId30226ac634a818a40" w:history="1">
        <w:r>
          <w:rPr>
            <w:rFonts w:ascii="Calibri" w:hAnsi="Calibri" w:eastAsia="Calibri" w:cs="Calibri"/>
            <w:color w:val="0000CC"/>
            <w:sz w:val="22"/>
            <w:szCs w:val="22"/>
            <w:u w:val="single"/>
          </w:rPr>
          <w:t xml:space="preserve">https://www.mag.go.cr/rev_agr/v15n1-2_189.pdf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MacGowan JB &amp; Langdon KR (1989) Hosts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i/>
          <w:iCs/>
          <w:color w:val="000000"/>
          <w:sz w:val="22"/>
          <w:szCs w:val="22"/>
        </w:rPr>
        <w:t xml:space="preserve">Nematology Circular No. 172. Florida Department of Agriculture and Consumer Services, Division of Plant Industry.</w:t>
      </w:r>
      <w:r>
        <w:rPr>
          <w:rFonts w:ascii="Calibri" w:hAnsi="Calibri" w:eastAsia="Calibri" w:cs="Calibri"/>
          <w:color w:val="000000"/>
          <w:sz w:val="22"/>
          <w:szCs w:val="22"/>
        </w:rPr>
        <w:t xml:space="preserve"> </w:t>
      </w:r>
      <w:hyperlink r:id="rId91326ac634a818acf" w:history="1">
        <w:r>
          <w:rPr>
            <w:rFonts w:ascii="Calibri" w:hAnsi="Calibri" w:eastAsia="Calibri" w:cs="Calibri"/>
            <w:color w:val="0000CC"/>
            <w:sz w:val="22"/>
            <w:szCs w:val="22"/>
            <w:u w:val="single"/>
          </w:rPr>
          <w:t xml:space="preserve">https://www.fdacs.gov/content/download/10961/file/nem172.pdf</w:t>
        </w:r>
      </w:hyperlink>
      <w:r>
        <w:rPr>
          <w:rFonts w:ascii="Calibri" w:hAnsi="Calibri" w:eastAsia="Calibri" w:cs="Calibri"/>
          <w:color w:val="000000"/>
          <w:sz w:val="22"/>
          <w:szCs w:val="22"/>
        </w:rPr>
        <w:t xml:space="preserve"> (Accessed 25 June 2025)
</w:t>
      </w:r>
    </w:p>
    <w:p>
      <w:pPr>
        <w:widowControl w:val="on"/>
        <w:pBdr/>
        <w:spacing w:before="220" w:after="220" w:line="240" w:lineRule="auto"/>
        <w:ind w:left="0" w:right="0"/>
        <w:jc w:val="left"/>
      </w:pPr>
      <w:r>
        <w:rPr>
          <w:rFonts w:ascii="Calibri" w:hAnsi="Calibri" w:eastAsia="Calibri" w:cs="Calibri"/>
          <w:color w:val="000000"/>
          <w:sz w:val="22"/>
          <w:szCs w:val="22"/>
        </w:rPr>
        <w:t xml:space="preserve">Manser PD (1968)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cause of root-knot of rice.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1–11.</w:t>
      </w:r>
    </w:p>
    <w:p>
      <w:pPr>
        <w:widowControl w:val="on"/>
        <w:pBdr/>
        <w:spacing w:before="220" w:after="220" w:line="240" w:lineRule="auto"/>
        <w:ind w:left="0" w:right="0"/>
        <w:jc w:val="left"/>
      </w:pPr>
      <w:r>
        <w:rPr>
          <w:rFonts w:ascii="Calibri" w:hAnsi="Calibri" w:eastAsia="Calibri" w:cs="Calibri"/>
          <w:color w:val="000000"/>
          <w:sz w:val="22"/>
          <w:szCs w:val="22"/>
        </w:rPr>
        <w:t xml:space="preserve">Mantelin S, Bellafiore S &amp; Kyndt T (2017)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major threat to rice agriculture.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3–15. </w:t>
      </w:r>
      <w:hyperlink r:id="rId95896ac634a818bea" w:history="1">
        <w:r>
          <w:rPr>
            <w:rFonts w:ascii="Calibri" w:hAnsi="Calibri" w:eastAsia="Calibri" w:cs="Calibri"/>
            <w:color w:val="0000CC"/>
            <w:sz w:val="22"/>
            <w:szCs w:val="22"/>
            <w:u w:val="single"/>
          </w:rPr>
          <w:t xml:space="preserve">https://doi.org/10.1111/mpp.12394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McClure MA (1977)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a metabolic sink.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88–90.</w:t>
      </w:r>
    </w:p>
    <w:p>
      <w:pPr>
        <w:widowControl w:val="on"/>
        <w:pBdr/>
        <w:spacing w:before="220" w:after="220" w:line="240" w:lineRule="auto"/>
        <w:ind w:left="0" w:right="0"/>
        <w:jc w:val="left"/>
      </w:pPr>
      <w:r>
        <w:rPr>
          <w:rFonts w:ascii="Calibri" w:hAnsi="Calibri" w:eastAsia="Calibri" w:cs="Calibri"/>
          <w:color w:val="000000"/>
          <w:sz w:val="22"/>
          <w:szCs w:val="22"/>
        </w:rPr>
        <w:t xml:space="preserve">Medina A, Crozzoli R &amp; Perichi G (2009) Nematodos fitoparásitos asociados a los arrozales en Venezuela.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(1), 59–66.</w:t>
      </w:r>
    </w:p>
    <w:p>
      <w:pPr>
        <w:widowControl w:val="on"/>
        <w:pBdr/>
        <w:spacing w:before="220" w:after="220" w:line="240" w:lineRule="auto"/>
        <w:ind w:left="0" w:right="0"/>
        <w:jc w:val="left"/>
      </w:pPr>
      <w:r>
        <w:rPr>
          <w:rFonts w:ascii="Calibri" w:hAnsi="Calibri" w:eastAsia="Calibri" w:cs="Calibri"/>
          <w:color w:val="000000"/>
          <w:sz w:val="22"/>
          <w:szCs w:val="22"/>
        </w:rPr>
        <w:t xml:space="preserve">Mulk MM (1976)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CIH description of plant-parasitic nematodes</w:t>
      </w:r>
      <w:r>
        <w:rPr>
          <w:rFonts w:ascii="Calibri" w:hAnsi="Calibri" w:eastAsia="Calibri" w:cs="Calibri"/>
          <w:color w:val="000000"/>
          <w:sz w:val="22"/>
          <w:szCs w:val="22"/>
        </w:rPr>
        <w:t xml:space="preserve"> set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No. 87, 4 pp. Commonwealth Agricultural Bureau, UK.</w:t>
      </w:r>
    </w:p>
    <w:p>
      <w:pPr>
        <w:widowControl w:val="on"/>
        <w:pBdr/>
        <w:spacing w:before="220" w:after="220" w:line="240" w:lineRule="auto"/>
        <w:ind w:left="0" w:right="0"/>
        <w:jc w:val="left"/>
      </w:pPr>
      <w:r>
        <w:rPr>
          <w:rFonts w:ascii="Calibri" w:hAnsi="Calibri" w:eastAsia="Calibri" w:cs="Calibri"/>
          <w:color w:val="000000"/>
          <w:sz w:val="22"/>
          <w:szCs w:val="22"/>
        </w:rPr>
        <w:t xml:space="preserve">Narasimhamurthy HB, Ravindra H, Mukesh Sehgal, Rani N, Suresha D, Ekabote &amp; Ganapathi (2018) Biology and life cycle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Entomology and Zoology Studies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(1), 477–479. </w:t>
      </w:r>
      <w:hyperlink r:id="rId62276ac634a818dd1" w:history="1">
        <w:r>
          <w:rPr>
            <w:rFonts w:ascii="Calibri" w:hAnsi="Calibri" w:eastAsia="Calibri" w:cs="Calibri"/>
            <w:color w:val="0000CC"/>
            <w:sz w:val="22"/>
            <w:szCs w:val="22"/>
            <w:u w:val="single"/>
          </w:rPr>
          <w:t xml:space="preserve">https://www.entomoljournal.com/achives/2018/vol6issue1/PartG/5-6-268-302.pdf</w:t>
        </w:r>
      </w:hyperlink>
      <w:r>
        <w:rPr>
          <w:rFonts w:ascii="Calibri" w:hAnsi="Calibri" w:eastAsia="Calibri" w:cs="Calibri"/>
          <w:color w:val="000000"/>
          <w:sz w:val="22"/>
          <w:szCs w:val="22"/>
        </w:rPr>
        <w:t xml:space="preserve"> (Accessed 25 June 2025)</w:t>
      </w:r>
    </w:p>
    <w:p>
      <w:pPr>
        <w:widowControl w:val="on"/>
        <w:pBdr/>
        <w:spacing w:before="220" w:after="220" w:line="240" w:lineRule="auto"/>
        <w:ind w:left="0" w:right="0"/>
        <w:jc w:val="left"/>
      </w:pPr>
      <w:r>
        <w:rPr>
          <w:rFonts w:ascii="Calibri" w:hAnsi="Calibri" w:eastAsia="Calibri" w:cs="Calibri"/>
          <w:color w:val="000000"/>
          <w:sz w:val="22"/>
          <w:szCs w:val="22"/>
        </w:rPr>
        <w:t xml:space="preserve">Negretti RRD, Manica-Berto R, Agostinetto D, Thürmer L &amp; Gomes C (2014) Host suitability of weeds and forage species to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as a function of irrigation management. </w:t>
      </w:r>
      <w:r>
        <w:rPr>
          <w:rFonts w:ascii="Calibri" w:hAnsi="Calibri" w:eastAsia="Calibri" w:cs="Calibri"/>
          <w:i/>
          <w:iCs/>
          <w:color w:val="000000"/>
          <w:sz w:val="22"/>
          <w:szCs w:val="22"/>
        </w:rPr>
        <w:t xml:space="preserve">Planta Daninha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555–561. </w:t>
      </w:r>
      <w:hyperlink r:id="rId78676ac634a818e73" w:history="1">
        <w:r>
          <w:rPr>
            <w:rFonts w:ascii="Calibri" w:hAnsi="Calibri" w:eastAsia="Calibri" w:cs="Calibri"/>
            <w:color w:val="0000CC"/>
            <w:sz w:val="22"/>
            <w:szCs w:val="22"/>
            <w:u w:val="single"/>
          </w:rPr>
          <w:t xml:space="preserve">https://doi.org/10.1590/S0100-83582014000300011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Nugaliyadde L, Dissanayake DMN, Herath HUDN, Dharmasena CMD, Jayasundera DM &amp; Ekanayake HMRK (2001) The outbreak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Nikewaratiya, Kurunegala in Maha 2000/2001. </w:t>
      </w:r>
      <w:r>
        <w:rPr>
          <w:rFonts w:ascii="Calibri" w:hAnsi="Calibri" w:eastAsia="Calibri" w:cs="Calibri"/>
          <w:i/>
          <w:iCs/>
          <w:color w:val="000000"/>
          <w:sz w:val="22"/>
          <w:szCs w:val="22"/>
        </w:rPr>
        <w:t xml:space="preserve">Annals of the Sri Lanka Department of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373–374.</w:t>
      </w:r>
    </w:p>
    <w:p>
      <w:pPr>
        <w:widowControl w:val="on"/>
        <w:pBdr/>
        <w:spacing w:before="220" w:after="220" w:line="240" w:lineRule="auto"/>
        <w:ind w:left="0" w:right="0"/>
        <w:jc w:val="left"/>
      </w:pPr>
      <w:r>
        <w:rPr>
          <w:rFonts w:ascii="Calibri" w:hAnsi="Calibri" w:eastAsia="Calibri" w:cs="Calibri"/>
          <w:color w:val="000000"/>
          <w:sz w:val="22"/>
          <w:szCs w:val="22"/>
        </w:rPr>
        <w:t xml:space="preserve">Padgham JL &amp; Sikora RA (2007) Biological control potential and modes of action of </w:t>
      </w:r>
      <w:r>
        <w:rPr>
          <w:rFonts w:ascii="Calibri" w:hAnsi="Calibri" w:eastAsia="Calibri" w:cs="Calibri"/>
          <w:i/>
          <w:iCs/>
          <w:color w:val="000000"/>
          <w:sz w:val="22"/>
          <w:szCs w:val="22"/>
        </w:rPr>
        <w:t xml:space="preserve">Bacillus megaterium</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(7), 971–977. </w:t>
      </w:r>
      <w:hyperlink r:id="rId84086ac634a818fa0" w:history="1">
        <w:r>
          <w:rPr>
            <w:rFonts w:ascii="Calibri" w:hAnsi="Calibri" w:eastAsia="Calibri" w:cs="Calibri"/>
            <w:color w:val="0000CC"/>
            <w:sz w:val="22"/>
            <w:szCs w:val="22"/>
            <w:u w:val="single"/>
          </w:rPr>
          <w:t xml:space="preserve">https://doi.org/10.1016/j.cropro.2006.09.004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Padgham JL, Abawi GS &amp; Duxbury JM (2003) Survival and infectivity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flooded and non-flooded soils.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(2), 225–230.</w:t>
      </w:r>
    </w:p>
    <w:p>
      <w:pPr>
        <w:widowControl w:val="on"/>
        <w:pBdr/>
        <w:spacing w:before="220" w:after="220" w:line="240" w:lineRule="auto"/>
        <w:ind w:left="0" w:right="0"/>
        <w:jc w:val="left"/>
      </w:pPr>
      <w:r>
        <w:rPr>
          <w:rFonts w:ascii="Calibri" w:hAnsi="Calibri" w:eastAsia="Calibri" w:cs="Calibri"/>
          <w:color w:val="000000"/>
          <w:sz w:val="22"/>
          <w:szCs w:val="22"/>
        </w:rPr>
        <w:t xml:space="preserve">Padgham JL, Duxbury JM, Mazid AM, Abawi GS &amp; Hossain H (2004) Yield loss caused by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lowland rainfed rice in Bangladesh.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42–48.</w:t>
      </w:r>
    </w:p>
    <w:p>
      <w:pPr>
        <w:widowControl w:val="on"/>
        <w:pBdr/>
        <w:spacing w:before="220" w:after="220" w:line="240" w:lineRule="auto"/>
        <w:ind w:left="0" w:right="0"/>
        <w:jc w:val="left"/>
      </w:pPr>
      <w:r>
        <w:rPr>
          <w:rFonts w:ascii="Calibri" w:hAnsi="Calibri" w:eastAsia="Calibri" w:cs="Calibri"/>
          <w:color w:val="000000"/>
          <w:sz w:val="22"/>
          <w:szCs w:val="22"/>
        </w:rPr>
        <w:t xml:space="preserve">Peng D, Haur HS &amp; Bridge J (2018) Nematode parasites of rice. In: </w:t>
      </w:r>
      <w:r>
        <w:rPr>
          <w:rFonts w:ascii="Calibri" w:hAnsi="Calibri" w:eastAsia="Calibri" w:cs="Calibri"/>
          <w:i/>
          <w:iCs/>
          <w:color w:val="000000"/>
          <w:sz w:val="22"/>
          <w:szCs w:val="22"/>
        </w:rPr>
        <w:t xml:space="preserve">Plant parasitic nematodes in subtropical and tropical agriculture</w:t>
      </w:r>
      <w:r>
        <w:rPr>
          <w:rFonts w:ascii="Calibri" w:hAnsi="Calibri" w:eastAsia="Calibri" w:cs="Calibri"/>
          <w:color w:val="000000"/>
          <w:sz w:val="22"/>
          <w:szCs w:val="22"/>
        </w:rPr>
        <w:t xml:space="preserve">,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 ed. (Ed. Sikora RA, Coyne D, Hallmann J &amp; Timper P), pp. 120–162. CABI Boston, MA, USA.</w:t>
      </w:r>
    </w:p>
    <w:p>
      <w:pPr>
        <w:widowControl w:val="on"/>
        <w:pBdr/>
        <w:spacing w:before="220" w:after="220" w:line="240" w:lineRule="auto"/>
        <w:ind w:left="0" w:right="0"/>
        <w:jc w:val="left"/>
      </w:pPr>
      <w:r>
        <w:rPr>
          <w:rFonts w:ascii="Calibri" w:hAnsi="Calibri" w:eastAsia="Calibri" w:cs="Calibri"/>
          <w:color w:val="000000"/>
          <w:sz w:val="22"/>
          <w:szCs w:val="22"/>
        </w:rPr>
        <w:t xml:space="preserve">Plowright RA &amp; Bridge J (1990) Effect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(Nematoda) on the establishment, growth and yield of rice cv. IR36. </w:t>
      </w:r>
      <w:r>
        <w:rPr>
          <w:rFonts w:ascii="Calibri" w:hAnsi="Calibri" w:eastAsia="Calibri" w:cs="Calibri"/>
          <w:i/>
          <w:iCs/>
          <w:color w:val="000000"/>
          <w:sz w:val="22"/>
          <w:szCs w:val="22"/>
        </w:rPr>
        <w:t xml:space="preserve">Nematologica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(1-4), 81–89. </w:t>
      </w:r>
      <w:hyperlink r:id="rId63006ac634a819190" w:history="1">
        <w:r>
          <w:rPr>
            <w:rFonts w:ascii="Calibri" w:hAnsi="Calibri" w:eastAsia="Calibri" w:cs="Calibri"/>
            <w:color w:val="0000CC"/>
            <w:sz w:val="22"/>
            <w:szCs w:val="22"/>
            <w:u w:val="single"/>
          </w:rPr>
          <w:t xml:space="preserve">https://doi.org/10.1163/002925990X00059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Pokharel RR, Abawi GS, Zhang, N, Duxbury JM &amp; Smat CD (2007) Characterization of isolates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from rice-wheat production fields in Nepal.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(3), 221–230.</w:t>
      </w:r>
    </w:p>
    <w:p>
      <w:pPr>
        <w:widowControl w:val="on"/>
        <w:pBdr/>
        <w:spacing w:before="220" w:after="220" w:line="240" w:lineRule="auto"/>
        <w:ind w:left="0" w:right="0"/>
        <w:jc w:val="left"/>
      </w:pPr>
      <w:r>
        <w:rPr>
          <w:rFonts w:ascii="Calibri" w:hAnsi="Calibri" w:eastAsia="Calibri" w:cs="Calibri"/>
          <w:color w:val="000000"/>
          <w:sz w:val="22"/>
          <w:szCs w:val="22"/>
        </w:rPr>
        <w:t xml:space="preserve">Pokharel RR, Duxbury JM &amp; Abawai G (2012) Evaluation of protocol for assessing the reaction of rice and wheat germplasm to infection by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(3), 274–283.</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&amp; Somasekhar N (2009) Nematode Pests of Rice: Diagnosis and Management. </w:t>
      </w:r>
      <w:r>
        <w:rPr>
          <w:rFonts w:ascii="Calibri" w:hAnsi="Calibri" w:eastAsia="Calibri" w:cs="Calibri"/>
          <w:i/>
          <w:iCs/>
          <w:color w:val="000000"/>
          <w:sz w:val="22"/>
          <w:szCs w:val="22"/>
        </w:rPr>
        <w:t xml:space="preserve">Technical Bulletin No. 38, Directorate of Rice Research (ICAR)</w:t>
      </w:r>
      <w:r>
        <w:rPr>
          <w:rFonts w:ascii="Calibri" w:hAnsi="Calibri" w:eastAsia="Calibri" w:cs="Calibri"/>
          <w:color w:val="000000"/>
          <w:sz w:val="22"/>
          <w:szCs w:val="22"/>
        </w:rPr>
        <w:t xml:space="preserve">, Rajendranagar, Hyderabad – 500030, A.P. India. 29 pp.</w:t>
      </w:r>
    </w:p>
    <w:p>
      <w:pPr>
        <w:widowControl w:val="on"/>
        <w:pBdr/>
        <w:spacing w:before="220" w:after="220" w:line="240" w:lineRule="auto"/>
        <w:ind w:left="0" w:right="0"/>
        <w:jc w:val="left"/>
      </w:pPr>
      <w:r>
        <w:rPr>
          <w:rFonts w:ascii="Calibri" w:hAnsi="Calibri" w:eastAsia="Calibri" w:cs="Calibri"/>
          <w:color w:val="000000"/>
          <w:sz w:val="22"/>
          <w:szCs w:val="22"/>
        </w:rPr>
        <w:t xml:space="preserve">Prasad JS, Panwar MS &amp; Rao YS (1985) Occurrence of root knot-nematode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semideepwater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(8), 387–388.</w:t>
      </w:r>
    </w:p>
    <w:p>
      <w:pPr>
        <w:widowControl w:val="on"/>
        <w:pBdr/>
        <w:spacing w:before="220" w:after="220" w:line="240" w:lineRule="auto"/>
        <w:ind w:left="0" w:right="0"/>
        <w:jc w:val="left"/>
      </w:pPr>
      <w:r>
        <w:rPr>
          <w:rFonts w:ascii="Calibri" w:hAnsi="Calibri" w:eastAsia="Calibri" w:cs="Calibri"/>
          <w:color w:val="000000"/>
          <w:sz w:val="22"/>
          <w:szCs w:val="22"/>
        </w:rPr>
        <w:t xml:space="preserve">Prot JC, Soriano IRS &amp; Matias D (1994) Major root-parasitic nematodes associated with irrigated rice in the Philippines. </w:t>
      </w:r>
      <w:r>
        <w:rPr>
          <w:rFonts w:ascii="Calibri" w:hAnsi="Calibri" w:eastAsia="Calibri" w:cs="Calibri"/>
          <w:i/>
          <w:iCs/>
          <w:color w:val="000000"/>
          <w:sz w:val="22"/>
          <w:szCs w:val="22"/>
        </w:rPr>
        <w:t xml:space="preserve">Fundamental and 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 75–78.</w:t>
      </w:r>
    </w:p>
    <w:p>
      <w:pPr>
        <w:widowControl w:val="on"/>
        <w:pBdr/>
        <w:spacing w:before="220" w:after="220" w:line="240" w:lineRule="auto"/>
        <w:ind w:left="0" w:right="0"/>
        <w:jc w:val="left"/>
      </w:pPr>
      <w:r>
        <w:rPr>
          <w:rFonts w:ascii="Calibri" w:hAnsi="Calibri" w:eastAsia="Calibri" w:cs="Calibri"/>
          <w:color w:val="000000"/>
          <w:sz w:val="22"/>
          <w:szCs w:val="22"/>
        </w:rPr>
        <w:t xml:space="preserve">Rao YS, Prasad JS &amp; Panwar MS (1986) Nematode problems in rice: crop losses, symptomatology and management. In: </w:t>
      </w:r>
      <w:r>
        <w:rPr>
          <w:rFonts w:ascii="Calibri" w:hAnsi="Calibri" w:eastAsia="Calibri" w:cs="Calibri"/>
          <w:i/>
          <w:iCs/>
          <w:color w:val="000000"/>
          <w:sz w:val="22"/>
          <w:szCs w:val="22"/>
        </w:rPr>
        <w:t xml:space="preserve">Plant Parasitic Nematodes of India: Problems and Progress</w:t>
      </w:r>
      <w:r>
        <w:rPr>
          <w:rFonts w:ascii="Calibri" w:hAnsi="Calibri" w:eastAsia="Calibri" w:cs="Calibri"/>
          <w:color w:val="000000"/>
          <w:sz w:val="22"/>
          <w:szCs w:val="22"/>
        </w:rPr>
        <w:t xml:space="preserve"> (Ed. Swarup G &amp; Dasgupta DR), pp. 279-299. Indian Agricultural Research Institute, New Delhi, India.</w:t>
      </w:r>
    </w:p>
    <w:p>
      <w:pPr>
        <w:widowControl w:val="on"/>
        <w:pBdr/>
        <w:spacing w:before="220" w:after="220" w:line="240" w:lineRule="auto"/>
        <w:ind w:left="0" w:right="0"/>
        <w:jc w:val="left"/>
      </w:pPr>
      <w:r>
        <w:rPr>
          <w:rFonts w:ascii="Calibri" w:hAnsi="Calibri" w:eastAsia="Calibri" w:cs="Calibri"/>
          <w:color w:val="000000"/>
          <w:sz w:val="22"/>
          <w:szCs w:val="22"/>
        </w:rPr>
        <w:t xml:space="preserve">Rao YS, Prasad JS, Yadav CP &amp; Padalia CR (1984) Influence of rotation crops in rice soils on the dynamics of parasitic nematodes. </w:t>
      </w:r>
      <w:r>
        <w:rPr>
          <w:rFonts w:ascii="Calibri" w:hAnsi="Calibri" w:eastAsia="Calibri" w:cs="Calibri"/>
          <w:i/>
          <w:iCs/>
          <w:color w:val="000000"/>
          <w:sz w:val="22"/>
          <w:szCs w:val="22"/>
        </w:rPr>
        <w:t xml:space="preserve">Biological Agriculture &amp; Horticulture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(1), 69–78. </w:t>
      </w:r>
      <w:hyperlink r:id="rId60236ac634a819476" w:history="1">
        <w:r>
          <w:rPr>
            <w:rFonts w:ascii="Calibri" w:hAnsi="Calibri" w:eastAsia="Calibri" w:cs="Calibri"/>
            <w:color w:val="0000CC"/>
            <w:sz w:val="22"/>
            <w:szCs w:val="22"/>
            <w:u w:val="single"/>
          </w:rPr>
          <w:t xml:space="preserve">https://doi.org/10.1080/01448765.1984.9754415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Rich JR, Brito JA, Kaur R &amp; Ferrell JA (2009) Weed species as hosts of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Nematropica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157–185.</w:t>
      </w:r>
    </w:p>
    <w:p>
      <w:pPr>
        <w:widowControl w:val="on"/>
        <w:pBdr/>
        <w:spacing w:before="220" w:after="220" w:line="240" w:lineRule="auto"/>
        <w:ind w:left="0" w:right="0"/>
        <w:jc w:val="left"/>
      </w:pPr>
      <w:r>
        <w:rPr>
          <w:rFonts w:ascii="Calibri" w:hAnsi="Calibri" w:eastAsia="Calibri" w:cs="Calibri"/>
          <w:color w:val="000000"/>
          <w:sz w:val="22"/>
          <w:szCs w:val="22"/>
        </w:rPr>
        <w:t xml:space="preserve">Roy AK (1982) Survival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eggs under different moisture conditions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Nematologia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(2), 221–222.</w:t>
      </w:r>
    </w:p>
    <w:p>
      <w:pPr>
        <w:widowControl w:val="on"/>
        <w:pBdr/>
        <w:spacing w:before="220" w:after="220" w:line="240" w:lineRule="auto"/>
        <w:ind w:left="0" w:right="0"/>
        <w:jc w:val="left"/>
      </w:pPr>
      <w:r>
        <w:rPr>
          <w:rFonts w:ascii="Calibri" w:hAnsi="Calibri" w:eastAsia="Calibri" w:cs="Calibri"/>
          <w:color w:val="000000"/>
          <w:sz w:val="22"/>
          <w:szCs w:val="22"/>
        </w:rPr>
        <w:t xml:space="preserve">Rusinque L, Maleita C, Abrantes I, Palomares-Rius JE &amp; Inácio ML (2021)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A threat to rice production: review update on distribution, biology, identification, and management.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(11), 1163, 1–19. </w:t>
      </w:r>
      <w:hyperlink r:id="rId73686ac634a81964d" w:history="1">
        <w:r>
          <w:rPr>
            <w:rFonts w:ascii="Calibri" w:hAnsi="Calibri" w:eastAsia="Calibri" w:cs="Calibri"/>
            <w:color w:val="0000CC"/>
            <w:sz w:val="22"/>
            <w:szCs w:val="22"/>
            <w:u w:val="single"/>
          </w:rPr>
          <w:t xml:space="preserve">https://doi.org/10.3390/biology10111163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Sacchi E, Brenna S, Fornelli Genot S, Leoni A, Sale VM &amp; Setti M (2020) Potentially Toxic Elements (PTEs) in cultivated soils from Lombardy (Northern Italy): spatial distribution, origin, and management implications. </w:t>
      </w:r>
      <w:r>
        <w:rPr>
          <w:rFonts w:ascii="Calibri" w:hAnsi="Calibri" w:eastAsia="Calibri" w:cs="Calibri"/>
          <w:i/>
          <w:iCs/>
          <w:color w:val="000000"/>
          <w:sz w:val="22"/>
          <w:szCs w:val="22"/>
        </w:rPr>
        <w:t xml:space="preserve">Minerals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(4), 298, 1–20. </w:t>
      </w:r>
      <w:hyperlink r:id="rId34986ac634a8196cd" w:history="1">
        <w:r>
          <w:rPr>
            <w:rFonts w:ascii="Calibri" w:hAnsi="Calibri" w:eastAsia="Calibri" w:cs="Calibri"/>
            <w:color w:val="0000CC"/>
            <w:sz w:val="22"/>
            <w:szCs w:val="22"/>
            <w:u w:val="single"/>
          </w:rPr>
          <w:t xml:space="preserve">https://doi.org/10.3390/min10040298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Sacchi S, Torrini G, Marianelli L, Mazza G, Fumagalli A, Cavagna B, Ciampitti M &amp; Roversi PF (2021). Control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 root-knot nematode using rice plants as trap crops: preliminary results.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37, 1–9. </w:t>
      </w:r>
      <w:hyperlink r:id="rId82636ac634a819764" w:history="1">
        <w:r>
          <w:rPr>
            <w:rFonts w:ascii="Calibri" w:hAnsi="Calibri" w:eastAsia="Calibri" w:cs="Calibri"/>
            <w:color w:val="0000CC"/>
            <w:sz w:val="22"/>
            <w:szCs w:val="22"/>
            <w:u w:val="single"/>
          </w:rPr>
          <w:t xml:space="preserve">https://doi.org/10.3390/agriculture11010037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Sancho LS, Salazar L &amp; López R (1987) Efecto de la densidad inicial del inoculo sobre la patogenicidad de </w:t>
      </w:r>
      <w:r>
        <w:rPr>
          <w:rFonts w:ascii="Calibri" w:hAnsi="Calibri" w:eastAsia="Calibri" w:cs="Calibri"/>
          <w:i/>
          <w:iCs/>
          <w:color w:val="000000"/>
          <w:sz w:val="22"/>
          <w:szCs w:val="22"/>
        </w:rPr>
        <w:t xml:space="preserve">Meloidogyne salasi</w:t>
      </w:r>
      <w:r>
        <w:rPr>
          <w:rFonts w:ascii="Calibri" w:hAnsi="Calibri" w:eastAsia="Calibri" w:cs="Calibri"/>
          <w:color w:val="000000"/>
          <w:sz w:val="22"/>
          <w:szCs w:val="22"/>
        </w:rPr>
        <w:t xml:space="preserve"> en tres cultivares de arroz. </w:t>
      </w:r>
      <w:r>
        <w:rPr>
          <w:rFonts w:ascii="Calibri" w:hAnsi="Calibri" w:eastAsia="Calibri" w:cs="Calibri"/>
          <w:i/>
          <w:iCs/>
          <w:color w:val="000000"/>
          <w:sz w:val="22"/>
          <w:szCs w:val="22"/>
        </w:rPr>
        <w:t xml:space="preserve">Agronomia Costarricense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(2), 233-238.</w:t>
      </w:r>
    </w:p>
    <w:p>
      <w:pPr>
        <w:widowControl w:val="on"/>
        <w:pBdr/>
        <w:spacing w:before="220" w:after="220" w:line="240" w:lineRule="auto"/>
        <w:ind w:left="0" w:right="0"/>
        <w:jc w:val="left"/>
      </w:pPr>
      <w:r>
        <w:rPr>
          <w:rFonts w:ascii="Calibri" w:hAnsi="Calibri" w:eastAsia="Calibri" w:cs="Calibri"/>
          <w:color w:val="000000"/>
          <w:sz w:val="22"/>
          <w:szCs w:val="22"/>
        </w:rPr>
        <w:t xml:space="preserve">Simon S &amp; Anamika A (2011) Management of root knot disease in rice caused by </w:t>
      </w:r>
      <w:r>
        <w:rPr>
          <w:rFonts w:ascii="Calibri" w:hAnsi="Calibri" w:eastAsia="Calibri" w:cs="Calibri"/>
          <w:i/>
          <w:iCs/>
          <w:color w:val="000000"/>
          <w:sz w:val="22"/>
          <w:szCs w:val="22"/>
        </w:rPr>
        <w:t xml:space="preserve">Meloidogyne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Science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Center of Science and Education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122–127.</w:t>
      </w:r>
    </w:p>
    <w:p>
      <w:pPr>
        <w:widowControl w:val="on"/>
        <w:pBdr/>
        <w:spacing w:before="220" w:after="220" w:line="240" w:lineRule="auto"/>
        <w:ind w:left="0" w:right="0"/>
        <w:jc w:val="left"/>
      </w:pPr>
      <w:r>
        <w:rPr>
          <w:rFonts w:ascii="Calibri" w:hAnsi="Calibri" w:eastAsia="Calibri" w:cs="Calibri"/>
          <w:color w:val="000000"/>
          <w:sz w:val="22"/>
          <w:szCs w:val="22"/>
        </w:rPr>
        <w:t xml:space="preserve">Somasekhar N &amp; Prasad JS (2009)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An emerging threat to rice cultivation. </w:t>
      </w:r>
      <w:r>
        <w:rPr>
          <w:rFonts w:ascii="Calibri" w:hAnsi="Calibri" w:eastAsia="Calibri" w:cs="Calibri"/>
          <w:i/>
          <w:iCs/>
          <w:color w:val="000000"/>
          <w:sz w:val="22"/>
          <w:szCs w:val="22"/>
        </w:rPr>
        <w:t xml:space="preserve">DRR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Soomro MH (1989) Survival of rice root-knot nematode juveniles in moist soil.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35.</w:t>
      </w:r>
    </w:p>
    <w:p>
      <w:pPr>
        <w:widowControl w:val="on"/>
        <w:pBdr/>
        <w:spacing w:before="220" w:after="220" w:line="240" w:lineRule="auto"/>
        <w:ind w:left="0" w:right="0"/>
        <w:jc w:val="left"/>
      </w:pPr>
      <w:r>
        <w:rPr>
          <w:rFonts w:ascii="Calibri" w:hAnsi="Calibri" w:eastAsia="Calibri" w:cs="Calibri"/>
          <w:color w:val="000000"/>
          <w:sz w:val="22"/>
          <w:szCs w:val="22"/>
        </w:rPr>
        <w:t xml:space="preserve">Soomro MH (1994) Some observations on the survival and viability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the absence of any host. </w:t>
      </w:r>
      <w:r>
        <w:rPr>
          <w:rFonts w:ascii="Calibri" w:hAnsi="Calibri" w:eastAsia="Calibri" w:cs="Calibri"/>
          <w:i/>
          <w:iCs/>
          <w:color w:val="000000"/>
          <w:sz w:val="22"/>
          <w:szCs w:val="22"/>
        </w:rPr>
        <w:t xml:space="preserve">Pakistan 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137–140.</w:t>
      </w:r>
    </w:p>
    <w:p>
      <w:pPr>
        <w:widowControl w:val="on"/>
        <w:pBdr/>
        <w:spacing w:before="220" w:after="220" w:line="240" w:lineRule="auto"/>
        <w:ind w:left="0" w:right="0"/>
        <w:jc w:val="left"/>
      </w:pPr>
      <w:r>
        <w:rPr>
          <w:rFonts w:ascii="Calibri" w:hAnsi="Calibri" w:eastAsia="Calibri" w:cs="Calibri"/>
          <w:color w:val="000000"/>
          <w:sz w:val="22"/>
          <w:szCs w:val="22"/>
        </w:rPr>
        <w:t xml:space="preserve">Soriano IR &amp; Reversat G (2003) Management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and yield of upland rice in South-Luzon, Philippines.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(6), 879–884. </w:t>
      </w:r>
      <w:hyperlink r:id="rId57176ac634a819a66" w:history="1">
        <w:r>
          <w:rPr>
            <w:rFonts w:ascii="Calibri" w:hAnsi="Calibri" w:eastAsia="Calibri" w:cs="Calibri"/>
            <w:color w:val="0000CC"/>
            <w:sz w:val="22"/>
            <w:szCs w:val="22"/>
            <w:u w:val="single"/>
          </w:rPr>
          <w:t xml:space="preserve">https://doi.org/10.1163/156854103773040781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Soriano IR, Prot JC &amp; Matias DM (2000) Expression of tolerance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in rice cultivars as affected by soil type and flooding.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309-317.</w:t>
      </w:r>
    </w:p>
    <w:p>
      <w:pPr>
        <w:widowControl w:val="on"/>
        <w:pBdr/>
        <w:spacing w:before="220" w:after="220" w:line="240" w:lineRule="auto"/>
        <w:ind w:left="0" w:right="0"/>
        <w:jc w:val="left"/>
      </w:pPr>
      <w:r>
        <w:rPr>
          <w:rFonts w:ascii="Calibri" w:hAnsi="Calibri" w:eastAsia="Calibri" w:cs="Calibri"/>
          <w:color w:val="000000"/>
          <w:sz w:val="22"/>
          <w:szCs w:val="22"/>
        </w:rPr>
        <w:t xml:space="preserve">Tandingan IC, Prot JC &amp; Davide RG (1996) Influence of water management on tolerance of rice cultivars for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Fundamental and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(2), 189–192.</w:t>
      </w:r>
    </w:p>
    <w:p>
      <w:pPr>
        <w:widowControl w:val="on"/>
        <w:pBdr/>
        <w:spacing w:before="220" w:after="220" w:line="240" w:lineRule="auto"/>
        <w:ind w:left="0" w:right="0"/>
        <w:jc w:val="left"/>
      </w:pPr>
      <w:r>
        <w:rPr>
          <w:rFonts w:ascii="Calibri" w:hAnsi="Calibri" w:eastAsia="Calibri" w:cs="Calibri"/>
          <w:color w:val="000000"/>
          <w:sz w:val="22"/>
          <w:szCs w:val="22"/>
        </w:rPr>
        <w:t xml:space="preserve">Tiilikkala K, Carter T, Heikinheimo M &amp; Venalainen A (1995) Pest risk analysis of </w:t>
      </w:r>
      <w:r>
        <w:rPr>
          <w:rFonts w:ascii="Calibri" w:hAnsi="Calibri" w:eastAsia="Calibri" w:cs="Calibri"/>
          <w:i/>
          <w:iCs/>
          <w:color w:val="000000"/>
          <w:sz w:val="22"/>
          <w:szCs w:val="22"/>
        </w:rPr>
        <w:t xml:space="preserve">Meloidogyne chitwoodi</w:t>
      </w:r>
      <w:r>
        <w:rPr>
          <w:rFonts w:ascii="Calibri" w:hAnsi="Calibri" w:eastAsia="Calibri" w:cs="Calibri"/>
          <w:color w:val="000000"/>
          <w:sz w:val="22"/>
          <w:szCs w:val="22"/>
        </w:rPr>
        <w:t xml:space="preserve"> for Finland.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(3), 419–435. </w:t>
      </w:r>
      <w:hyperlink r:id="rId60746ac634a819c12" w:history="1">
        <w:r>
          <w:rPr>
            <w:rFonts w:ascii="Calibri" w:hAnsi="Calibri" w:eastAsia="Calibri" w:cs="Calibri"/>
            <w:color w:val="0000CC"/>
            <w:sz w:val="22"/>
            <w:szCs w:val="22"/>
            <w:u w:val="single"/>
          </w:rPr>
          <w:t xml:space="preserve">https://doi.org/10.1111/j.1365-2338.1995.tb00576.x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Torrini G, Roversi PF, Cesaroni CF &amp; Marianelli L (2020) Pest risk analysis of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for the Italian territory.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(2), 330–339. </w:t>
      </w:r>
      <w:hyperlink r:id="rId87026ac634a819ca2" w:history="1">
        <w:r>
          <w:rPr>
            <w:rFonts w:ascii="Calibri" w:hAnsi="Calibri" w:eastAsia="Calibri" w:cs="Calibri"/>
            <w:color w:val="0000CC"/>
            <w:sz w:val="22"/>
            <w:szCs w:val="22"/>
            <w:u w:val="single"/>
          </w:rPr>
          <w:t xml:space="preserve">https://doi.org/10.1111/epp.12666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Triantaphyllou AC (1969) Gametogenesis and the chromosomes of two root-knot nematodes, </w:t>
      </w:r>
      <w:r>
        <w:rPr>
          <w:rFonts w:ascii="Calibri" w:hAnsi="Calibri" w:eastAsia="Calibri" w:cs="Calibri"/>
          <w:i/>
          <w:iCs/>
          <w:color w:val="000000"/>
          <w:sz w:val="22"/>
          <w:szCs w:val="22"/>
        </w:rPr>
        <w:t xml:space="preserve">Meloidogyne graminicola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M. naasi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62–71.</w:t>
      </w:r>
    </w:p>
    <w:p>
      <w:pPr>
        <w:widowControl w:val="on"/>
        <w:pBdr/>
        <w:spacing w:before="220" w:after="220" w:line="240" w:lineRule="auto"/>
        <w:ind w:left="0" w:right="0"/>
        <w:jc w:val="left"/>
      </w:pPr>
      <w:r>
        <w:rPr>
          <w:rFonts w:ascii="Calibri" w:hAnsi="Calibri" w:eastAsia="Calibri" w:cs="Calibri"/>
          <w:color w:val="000000"/>
          <w:sz w:val="22"/>
          <w:szCs w:val="22"/>
        </w:rPr>
        <w:t xml:space="preserve">Win PP, Kyi PP &amp; De Waele D (2011) Effect of agro-ecosystem on the occurrence of the rice root-knot nematode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on rice in Myanmar.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(2), 187–196. </w:t>
      </w:r>
      <w:hyperlink r:id="rId83706ac634a819dd2" w:history="1">
        <w:r>
          <w:rPr>
            <w:rFonts w:ascii="Calibri" w:hAnsi="Calibri" w:eastAsia="Calibri" w:cs="Calibri"/>
            <w:color w:val="0000CC"/>
            <w:sz w:val="22"/>
            <w:szCs w:val="22"/>
            <w:u w:val="single"/>
          </w:rPr>
          <w:t xml:space="preserve">https://doi.org/10.1007/s13313-011-0029-y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Win PP, Kyi PP, Maung ZTZ &amp; De Waele D (2013) Population dynamics of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Hirschmanniella oryzae</w:t>
      </w:r>
      <w:r>
        <w:rPr>
          <w:rFonts w:ascii="Calibri" w:hAnsi="Calibri" w:eastAsia="Calibri" w:cs="Calibri"/>
          <w:color w:val="000000"/>
          <w:sz w:val="22"/>
          <w:szCs w:val="22"/>
        </w:rPr>
        <w:t xml:space="preserve"> in a double rice-cropping sequence in the lowlands of Myanmar. </w:t>
      </w:r>
      <w:r>
        <w:rPr>
          <w:rFonts w:ascii="Calibri" w:hAnsi="Calibri" w:eastAsia="Calibri" w:cs="Calibri"/>
          <w:i/>
          <w:iCs/>
          <w:color w:val="000000"/>
          <w:sz w:val="22"/>
          <w:szCs w:val="22"/>
        </w:rPr>
        <w:t xml:space="preserve">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795–807. </w:t>
      </w:r>
      <w:hyperlink r:id="rId99106ac634a819e83" w:history="1">
        <w:r>
          <w:rPr>
            <w:rFonts w:ascii="Calibri" w:hAnsi="Calibri" w:eastAsia="Calibri" w:cs="Calibri"/>
            <w:color w:val="0000CC"/>
            <w:sz w:val="22"/>
            <w:szCs w:val="22"/>
            <w:u w:val="single"/>
          </w:rPr>
          <w:t xml:space="preserve">https://doi.org/10.1163/15685411-00002719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Yik CP &amp; Birchfield W (1979) Host studies and reactions of rice cultivars to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(5), 497-499.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2025 by Giovanna Curto, Regional Plant Protection Service, Emilia-Romagna (Italy). Her valuable contribution is gratefully acknowledged.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EPPO datasheets on pests recommended for regulation. Available online. </w:t>
      </w:r>
      <w:hyperlink r:id="rId79526ac634a819fd2"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2025.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(2025) Datasheets on  pests recommended for regulation. </w:t>
      </w:r>
      <w:r>
        <w:rPr>
          <w:rFonts w:ascii="Calibri" w:hAnsi="Calibri" w:eastAsia="Calibri" w:cs="Calibri"/>
          <w:i/>
          <w:iCs/>
          <w:color w:val="000000"/>
          <w:sz w:val="22"/>
          <w:szCs w:val="22"/>
        </w:rPr>
        <w:t xml:space="preserve">Meloidogyne graminicola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242-249.  </w:t>
      </w:r>
      <w:hyperlink r:id="rId78236ac634a81a094" w:history="1">
        <w:r>
          <w:rPr>
            <w:rFonts w:ascii="Calibri" w:hAnsi="Calibri" w:eastAsia="Calibri" w:cs="Calibri"/>
            <w:color w:val="0000CC"/>
            <w:sz w:val="22"/>
            <w:szCs w:val="22"/>
            <w:u w:val="single"/>
          </w:rPr>
          <w:t xml:space="preserve">https://doi.org/10.1111/epp.70005</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364249">
    <w:multiLevelType w:val="hybridMultilevel"/>
    <w:lvl w:ilvl="0" w:tplc="96806915">
      <w:start w:val="1"/>
      <w:numFmt w:val="decimal"/>
      <w:lvlText w:val="%1."/>
      <w:lvlJc w:val="left"/>
      <w:pPr>
        <w:ind w:left="720" w:hanging="360"/>
      </w:pPr>
    </w:lvl>
    <w:lvl w:ilvl="1" w:tplc="96806915" w:tentative="1">
      <w:start w:val="1"/>
      <w:numFmt w:val="lowerLetter"/>
      <w:lvlText w:val="%2."/>
      <w:lvlJc w:val="left"/>
      <w:pPr>
        <w:ind w:left="1440" w:hanging="360"/>
      </w:pPr>
    </w:lvl>
    <w:lvl w:ilvl="2" w:tplc="96806915" w:tentative="1">
      <w:start w:val="1"/>
      <w:numFmt w:val="lowerRoman"/>
      <w:lvlText w:val="%3."/>
      <w:lvlJc w:val="right"/>
      <w:pPr>
        <w:ind w:left="2160" w:hanging="180"/>
      </w:pPr>
    </w:lvl>
    <w:lvl w:ilvl="3" w:tplc="96806915" w:tentative="1">
      <w:start w:val="1"/>
      <w:numFmt w:val="decimal"/>
      <w:lvlText w:val="%4."/>
      <w:lvlJc w:val="left"/>
      <w:pPr>
        <w:ind w:left="2880" w:hanging="360"/>
      </w:pPr>
    </w:lvl>
    <w:lvl w:ilvl="4" w:tplc="96806915" w:tentative="1">
      <w:start w:val="1"/>
      <w:numFmt w:val="lowerLetter"/>
      <w:lvlText w:val="%5."/>
      <w:lvlJc w:val="left"/>
      <w:pPr>
        <w:ind w:left="3600" w:hanging="360"/>
      </w:pPr>
    </w:lvl>
    <w:lvl w:ilvl="5" w:tplc="96806915" w:tentative="1">
      <w:start w:val="1"/>
      <w:numFmt w:val="lowerRoman"/>
      <w:lvlText w:val="%6."/>
      <w:lvlJc w:val="right"/>
      <w:pPr>
        <w:ind w:left="4320" w:hanging="180"/>
      </w:pPr>
    </w:lvl>
    <w:lvl w:ilvl="6" w:tplc="96806915" w:tentative="1">
      <w:start w:val="1"/>
      <w:numFmt w:val="decimal"/>
      <w:lvlText w:val="%7."/>
      <w:lvlJc w:val="left"/>
      <w:pPr>
        <w:ind w:left="5040" w:hanging="360"/>
      </w:pPr>
    </w:lvl>
    <w:lvl w:ilvl="7" w:tplc="96806915" w:tentative="1">
      <w:start w:val="1"/>
      <w:numFmt w:val="lowerLetter"/>
      <w:lvlText w:val="%8."/>
      <w:lvlJc w:val="left"/>
      <w:pPr>
        <w:ind w:left="5760" w:hanging="360"/>
      </w:pPr>
    </w:lvl>
    <w:lvl w:ilvl="8" w:tplc="96806915" w:tentative="1">
      <w:start w:val="1"/>
      <w:numFmt w:val="lowerRoman"/>
      <w:lvlText w:val="%9."/>
      <w:lvlJc w:val="right"/>
      <w:pPr>
        <w:ind w:left="6480" w:hanging="180"/>
      </w:pPr>
    </w:lvl>
  </w:abstractNum>
  <w:abstractNum w:abstractNumId="95364248">
    <w:multiLevelType w:val="hybridMultilevel"/>
    <w:lvl w:ilvl="0" w:tplc="99455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364248">
    <w:abstractNumId w:val="95364248"/>
  </w:num>
  <w:num w:numId="95364249">
    <w:abstractNumId w:val="9536424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5061861" Type="http://schemas.microsoft.com/office/2011/relationships/commentsExtended" Target="commentsExtended.xml"/><Relationship Id="rId674097594" Type="http://schemas.microsoft.com/office/2011/relationships/people" Target="people.xml"/><Relationship Id="rId18076ac634a812e39" Type="http://schemas.openxmlformats.org/officeDocument/2006/relationships/hyperlink" Target="https://gd.eppo.int/taxon/MELGGC/" TargetMode="External"/><Relationship Id="rId70926ac634a812ea7" Type="http://schemas.openxmlformats.org/officeDocument/2006/relationships/hyperlink" Target="https://gd.eppo.int/taxon/MELGGC/categorization" TargetMode="External"/><Relationship Id="rId67886ac634a8135b2" Type="http://schemas.openxmlformats.org/officeDocument/2006/relationships/hyperlink" Target="https://gd.eppo.int/taxon/MELGGC/photos" TargetMode="External"/><Relationship Id="rId57816ac634a8178f7" Type="http://schemas.openxmlformats.org/officeDocument/2006/relationships/hyperlink" Target="https://doi.org/10.4038/josuk.v13i0.8021" TargetMode="External"/><Relationship Id="rId87506ac634a817996" Type="http://schemas.openxmlformats.org/officeDocument/2006/relationships/hyperlink" Target="http://dx.doi.org/10.4038/josuk.v6i0.4221" TargetMode="External"/><Relationship Id="rId27806ac634a817a41" Type="http://schemas.openxmlformats.org/officeDocument/2006/relationships/hyperlink" Target="https://doi.org/10.4038/josuk.v3i0.2736" TargetMode="External"/><Relationship Id="rId66116ac634a817ad6" Type="http://schemas.openxmlformats.org/officeDocument/2006/relationships/hyperlink" Target="https://doi.org/10.1016/j.crvi.2015.04.002" TargetMode="External"/><Relationship Id="rId40286ac634a817b6c" Type="http://schemas.openxmlformats.org/officeDocument/2006/relationships/hyperlink" Target="https://doi.org/10.1111/j.1365-2338.1996.tb01492.x" TargetMode="External"/><Relationship Id="rId36886ac634a817dcb" Type="http://schemas.openxmlformats.org/officeDocument/2006/relationships/hyperlink" Target="https://doi.org/10.1079/cabicompendium.33243" TargetMode="External"/><Relationship Id="rId42836ac634a817e4d" Type="http://schemas.openxmlformats.org/officeDocument/2006/relationships/hyperlink" Target="https://doi.org/10.1186/s12284-023-00644-1" TargetMode="External"/><Relationship Id="rId37496ac634a817ee1" Type="http://schemas.openxmlformats.org/officeDocument/2006/relationships/hyperlink" Target="http://dx.doi.org/10.19263/REDIA-103.20.23" TargetMode="External"/><Relationship Id="rId56116ac634a817f53" Type="http://schemas.openxmlformats.org/officeDocument/2006/relationships/hyperlink" Target="https://doi.org/10.5281/zenodo.7303304" TargetMode="External"/><Relationship Id="rId85996ac634a817fe7" Type="http://schemas.openxmlformats.org/officeDocument/2006/relationships/hyperlink" Target="https://doi.org/10.5897/AJMR12.707" TargetMode="External"/><Relationship Id="rId13416ac634a818058" Type="http://schemas.openxmlformats.org/officeDocument/2006/relationships/hyperlink" Target="https://doi.org/10.1111/epp.12077" TargetMode="External"/><Relationship Id="rId51906ac634a8180af" Type="http://schemas.openxmlformats.org/officeDocument/2006/relationships/hyperlink" Target="https://gd.eppo.int/reporting/article-6390" TargetMode="External"/><Relationship Id="rId56366ac634a81811f" Type="http://schemas.openxmlformats.org/officeDocument/2006/relationships/hyperlink" Target="https://gd.eppo.int/taxon/MELGGC/documents" TargetMode="External"/><Relationship Id="rId93236ac634a81819f" Type="http://schemas.openxmlformats.org/officeDocument/2006/relationships/hyperlink" Target="https://doi.org/10.1111/epp.13054" TargetMode="External"/><Relationship Id="rId45616ac634a818231" Type="http://schemas.openxmlformats.org/officeDocument/2006/relationships/hyperlink" Target="http://data.europa.eu/eli/reg_impl/2022/1372/oj" TargetMode="External"/><Relationship Id="rId18426ac634a8182c3" Type="http://schemas.openxmlformats.org/officeDocument/2006/relationships/hyperlink" Target="http://data.europa.eu/eli/reg_impl/2025/1076/oj" TargetMode="External"/><Relationship Id="rId42776ac634a818327" Type="http://schemas.openxmlformats.org/officeDocument/2006/relationships/hyperlink" Target="https://doi.org/10.5281/zenodo.14654535" TargetMode="External"/><Relationship Id="rId67386ac634a8183bc" Type="http://schemas.openxmlformats.org/officeDocument/2006/relationships/hyperlink" Target="https://doi.org/10.1007/s10658-017-1196-7" TargetMode="External"/><Relationship Id="rId58906ac634a818441" Type="http://schemas.openxmlformats.org/officeDocument/2006/relationships/hyperlink" Target="https://doi.org/10.1002/ece3.9326" TargetMode="External"/><Relationship Id="rId80296ac634a818624" Type="http://schemas.openxmlformats.org/officeDocument/2006/relationships/hyperlink" Target="https://doi.org/10.1016/j.biocontrol.2018.07.018" TargetMode="External"/><Relationship Id="rId67186ac634a8186c6" Type="http://schemas.openxmlformats.org/officeDocument/2006/relationships/hyperlink" Target="https://doi.org/10.1080/09670870802450235" TargetMode="External"/><Relationship Id="rId49276ac634a8187b7" Type="http://schemas.openxmlformats.org/officeDocument/2006/relationships/hyperlink" Target="https://www.protezionedellepiante.it/wp-content/uploads/2023/07/dtu-n.-43-melggc_signed.pdf" TargetMode="External"/><Relationship Id="rId47036ac634a818856" Type="http://schemas.openxmlformats.org/officeDocument/2006/relationships/hyperlink" Target="http://dx.doi.org/10.1080/03235408.2011.588059" TargetMode="External"/><Relationship Id="rId14576ac634a81893b" Type="http://schemas.openxmlformats.org/officeDocument/2006/relationships/hyperlink" Target="https://doi.org/10.1038/srep22846" TargetMode="External"/><Relationship Id="rId42766ac634a8189ae" Type="http://schemas.openxmlformats.org/officeDocument/2006/relationships/hyperlink" Target="https://doi.org/10.1111/j.1469-8137.2012.04311.x" TargetMode="External"/><Relationship Id="rId30226ac634a818a40" Type="http://schemas.openxmlformats.org/officeDocument/2006/relationships/hyperlink" Target="https://www.mag.go.cr/rev_agr/v15n1-2_189.pdf" TargetMode="External"/><Relationship Id="rId91326ac634a818acf" Type="http://schemas.openxmlformats.org/officeDocument/2006/relationships/hyperlink" Target="https://www.fdacs.gov/content/download/10961/file/nem172.pdf" TargetMode="External"/><Relationship Id="rId95896ac634a818bea" Type="http://schemas.openxmlformats.org/officeDocument/2006/relationships/hyperlink" Target="https://doi.org/10.1111/mpp.12394" TargetMode="External"/><Relationship Id="rId62276ac634a818dd1" Type="http://schemas.openxmlformats.org/officeDocument/2006/relationships/hyperlink" Target="https://www.entomoljournal.com/achives/2018/vol6issue1/PartG/5-6-268-302.pdf" TargetMode="External"/><Relationship Id="rId78676ac634a818e73" Type="http://schemas.openxmlformats.org/officeDocument/2006/relationships/hyperlink" Target="https://doi.org/10.1590/S0100-83582014000300011" TargetMode="External"/><Relationship Id="rId84086ac634a818fa0" Type="http://schemas.openxmlformats.org/officeDocument/2006/relationships/hyperlink" Target="https://doi.org/10.1016/j.cropro.2006.09.004" TargetMode="External"/><Relationship Id="rId63006ac634a819190" Type="http://schemas.openxmlformats.org/officeDocument/2006/relationships/hyperlink" Target="https://doi.org/10.1163/002925990X00059" TargetMode="External"/><Relationship Id="rId60236ac634a819476" Type="http://schemas.openxmlformats.org/officeDocument/2006/relationships/hyperlink" Target="https://doi.org/10.1080/01448765.1984.9754415" TargetMode="External"/><Relationship Id="rId73686ac634a81964d" Type="http://schemas.openxmlformats.org/officeDocument/2006/relationships/hyperlink" Target="https://doi.org/10.3390/biology10111163" TargetMode="External"/><Relationship Id="rId34986ac634a8196cd" Type="http://schemas.openxmlformats.org/officeDocument/2006/relationships/hyperlink" Target="https://doi.org/10.3390/min10040298" TargetMode="External"/><Relationship Id="rId82636ac634a819764" Type="http://schemas.openxmlformats.org/officeDocument/2006/relationships/hyperlink" Target="https://doi.org/10.3390/agriculture11010037" TargetMode="External"/><Relationship Id="rId57176ac634a819a66" Type="http://schemas.openxmlformats.org/officeDocument/2006/relationships/hyperlink" Target="https://doi.org/10.1163/156854103773040781" TargetMode="External"/><Relationship Id="rId60746ac634a819c12" Type="http://schemas.openxmlformats.org/officeDocument/2006/relationships/hyperlink" Target="https://doi.org/10.1111/j.1365-2338.1995.tb00576.x" TargetMode="External"/><Relationship Id="rId87026ac634a819ca2" Type="http://schemas.openxmlformats.org/officeDocument/2006/relationships/hyperlink" Target="https://doi.org/10.1111/epp.12666" TargetMode="External"/><Relationship Id="rId83706ac634a819dd2" Type="http://schemas.openxmlformats.org/officeDocument/2006/relationships/hyperlink" Target="https://doi.org/10.1007/s13313-011-0029-y" TargetMode="External"/><Relationship Id="rId99106ac634a819e83" Type="http://schemas.openxmlformats.org/officeDocument/2006/relationships/hyperlink" Target="https://doi.org/10.1163/15685411-00002719" TargetMode="External"/><Relationship Id="rId79526ac634a819fd2" Type="http://schemas.openxmlformats.org/officeDocument/2006/relationships/hyperlink" Target="https://gd.eppo.int" TargetMode="External"/><Relationship Id="rId78236ac634a81a094" Type="http://schemas.openxmlformats.org/officeDocument/2006/relationships/hyperlink" Target="https://doi.org/10.1111/epp.70005" TargetMode="External"/><Relationship Id="rId66006ac634a813413" Type="http://schemas.openxmlformats.org/officeDocument/2006/relationships/image" Target="media/imgrId66006ac634a813413.jpg"/><Relationship Id="rId31896ac634a815619" Type="http://schemas.openxmlformats.org/officeDocument/2006/relationships/image" Target="media/imgrId31896ac634a815619.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