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fallax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fallax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Karssen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Columbia root-knot nematode</w:t>
            </w:r>
            <w:hyperlink r:id="rId47706698410c1a3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0286698410c1a3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MELGFA</w:t>
            </w:r>
          </w:p>
        </w:tc>
        <w:tc>
          <w:tcPr>
            <w:tcW w:w="2000" w:type="pct"/>
            <w:tcMar>
              <w:top w:w="15" w:type="dxa"/>
              <w:left w:w="15" w:type="dxa"/>
              <w:bottom w:w="15" w:type="dxa"/>
              <w:right w:w="15" w:type="dxa"/>
            </w:tcMar>
            <w:vAlign w:val="center"/>
          </w:tcPr>
          <w:p>
            <w:r>
              <w:rPr>
                <w:position w:val="8"/>
              </w:rPr>
              <w:drawing>
                <wp:inline distT="0" distB="0" distL="0" distR="0">
                  <wp:extent cx="2160000" cy="0"/>
                  <wp:docPr id="20379892" name="name76306698410c1aa9d" desc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jpg"/>
                          <pic:cNvPicPr/>
                        </pic:nvPicPr>
                        <pic:blipFill>
                          <a:blip r:embed="rId89486698410c1aa9b" cstate="print"/>
                          <a:stretch>
                            <a:fillRect/>
                          </a:stretch>
                        </pic:blipFill>
                        <pic:spPr>
                          <a:xfrm>
                            <a:off x="0" y="0"/>
                            <a:ext cx="2160000" cy="0"/>
                          </a:xfrm>
                          <a:prstGeom prst="rect">
                            <a:avLst/>
                          </a:prstGeom>
                          <a:ln w="0">
                            <a:noFill/>
                          </a:ln>
                        </pic:spPr>
                      </pic:pic>
                    </a:graphicData>
                  </a:graphic>
                </wp:inline>
              </w:drawing>
            </w:r>
            <w:hyperlink r:id="rId74906698410c2b3d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was detected for the first time in 1992 in a field plot experiment 1.5 km north of Baexem (NL), and was initially considered as a deviant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Golden population (Karssen, 1994). On the basis of differences in isozyme patterns,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proposed as a new race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Meggelen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and named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B-type (Karssen, 1995). As more differences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the B-types were discovered, this race status became unacceptable,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described as a new species (Karssen,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detected on and described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Host-range includes a wide range of dicotyledonous and monocotyledons plants, including weeds, ornamentals, and economically important crops such as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The experimental host range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mostly overlaps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but differential hosts have been found. For example dwarf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valerian </w:t>
      </w:r>
      <w:r>
        <w:rPr>
          <w:rFonts w:ascii="Calibri" w:hAnsi="Calibri" w:eastAsia="Calibri" w:cs="Calibri"/>
          <w:i/>
          <w:iCs/>
          <w:color w:val="000000"/>
          <w:sz w:val="22"/>
          <w:szCs w:val="22"/>
        </w:rPr>
        <w:t xml:space="preserve">(Valeriana officinalis),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(Zea mays), Erica cinerea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Potentilla fruticosa</w:t>
      </w:r>
      <w:r>
        <w:rPr>
          <w:rFonts w:ascii="Calibri" w:hAnsi="Calibri" w:eastAsia="Calibri" w:cs="Calibri"/>
          <w:color w:val="000000"/>
          <w:sz w:val="22"/>
          <w:szCs w:val="22"/>
        </w:rPr>
        <w:t xml:space="preserve"> are good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not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while the reverse is the case for </w:t>
      </w:r>
      <w:r>
        <w:rPr>
          <w:rFonts w:ascii="Calibri" w:hAnsi="Calibri" w:eastAsia="Calibri" w:cs="Calibri"/>
          <w:i/>
          <w:iCs/>
          <w:color w:val="000000"/>
          <w:sz w:val="22"/>
          <w:szCs w:val="22"/>
        </w:rPr>
        <w:t xml:space="preserve">Oenothera glazioviana, Phacelia tanacetifolia, Hemerocallis </w:t>
      </w:r>
      <w:r>
        <w:rPr>
          <w:rFonts w:ascii="Calibri" w:hAnsi="Calibri" w:eastAsia="Calibri" w:cs="Calibri"/>
          <w:color w:val="000000"/>
          <w:sz w:val="22"/>
          <w:szCs w:val="22"/>
        </w:rPr>
        <w:t xml:space="preserve">cv. Rajah and </w:t>
      </w:r>
      <w:r>
        <w:rPr>
          <w:rFonts w:ascii="Calibri" w:hAnsi="Calibri" w:eastAsia="Calibri" w:cs="Calibri"/>
          <w:i/>
          <w:iCs/>
          <w:color w:val="000000"/>
          <w:sz w:val="22"/>
          <w:szCs w:val="22"/>
        </w:rPr>
        <w:t xml:space="preserve">Dicentra spectabilis</w:t>
      </w:r>
      <w:r>
        <w:rPr>
          <w:rFonts w:ascii="Calibri" w:hAnsi="Calibri" w:eastAsia="Calibri" w:cs="Calibri"/>
          <w:color w:val="000000"/>
          <w:sz w:val="22"/>
          <w:szCs w:val="22"/>
        </w:rPr>
        <w:t xml:space="preserve">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It is expected that many more plant species will be hosts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Leptinella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first record near Baexem (NL) in 1992,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recorded on potato at several locations in the southern and south-eastern part of the Netherlands (Karssen, 1996), close to the German and Belgium borders. Within the EPPO region it was detected locally in Belgium, France, Germany, </w:t>
      </w:r>
      <w:r>
        <w:rPr>
          <w:rFonts w:ascii="Calibri" w:hAnsi="Calibri" w:eastAsia="Calibri" w:cs="Calibri"/>
          <w:color w:val="000000"/>
          <w:sz w:val="22"/>
          <w:szCs w:val="22"/>
        </w:rPr>
        <w:t xml:space="preserve">Sweden, Switzerland and the United Kingdom (England). In addition, Topalović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revealed that a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detected in Ireland in 1965 belongs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never been reported from the natural environment in Europe. Outside Europe it has been reported from Australia, Chile, New Zealand and South Africa. New Zealand is the only known country where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widely distributed (North and South Island) and detected in cropping and pasture fields (Rohan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strongly suggesting that it could be the place of origin of this pest. </w:t>
      </w:r>
    </w:p>
    <w:p>
      <w:r>
        <w:drawing>
          <wp:inline distT="0" distB="0" distL="0" distR="0">
            <wp:extent cx="6120000" cy="0"/>
            <wp:docPr id="57331835" name="name76266698410c2d1ef" descr="MELG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FA_distribution_map.jpg"/>
                    <pic:cNvPicPr/>
                  </pic:nvPicPr>
                  <pic:blipFill>
                    <a:blip r:embed="rId81076698410c2d1e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Netherlands, Sweden,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(Java)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cycles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in general, the same with respect to root penetration, gall induction, symptomatology, number of moults, parthenogenetic reproduction and chromosome number: Both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usually reproduce by parthenogenesis. They can have one to three generations per year in the Netherlands and produce several hundreds of eggs per female, deposited in an egg sac. These egg sacs allow the eggs to survive under unfavorable conditions (EFSA, 2019). Initial results by van der Beek (1997) indicated that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had a shorter life cycle than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in a virulence study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Host races, as described for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not been detected for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so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 Successful hybridization was not obtained when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were crossed in two different experiments; the F1 was viable, but the F2 second-stage juveniles were not viable and showed morphological distortions (van der Beek &amp; Karssen,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differences in terms of hatching responses to root diffusate and host age between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suggests different survival strategies between these two species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 Karssen are closely related, morphologically and at DNA level. Phylogenetically they appear to be in the same distinct clade within the genus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Elling,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symptoms of heavily infested plants include stunting and yellowing, while below ground galling is typical. The root galls produced by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comparable to those produced by several other root-knot species, i.e. relatively small galls in general without secondary roots emerging from them (these secondary roots are seen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 numerous small pimple-like raised areas on the surface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these swellings are not evident). Some potato cultivars, although heavily infested, may be free from visible external symptoms, while the internal potato tissue is necrotic and brownish, just below the peel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Sedentary females are annulated, pearly white and globular to pear-shaped, 400-720 µm long and 250-460 µm wide. The stylet is dorsally curved, 13.9-15.2 µm long, with rounded to ovoid stylet knobs, slightly sloping posteriorly. The non-sedentary males are vermiform, annulated, slightly tapering anteriorly, bluntly rounded posteriorly, 735-1520 µm long and 27-44 µm wide. The stylet is 18.9-20.9 µm long, with large rounded knobs, set off from the shaft. The non-sedentary second-stage juveniles are vermiform, annulated, tapering at both ends, 380-435 µm long, 13.3-16.4 µm wide, with a tail length of 46-56 µm and a hyaline tail part 12.2-15.8 µm in length (Karssen,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closely related morphologically to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this misleading resemblance was the reason for giving the species its name. The most striking differences for males and females are stylet length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stylet knob shape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prominent and rounded;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small and irregular). The second-stage juveniles differ in mean body length, tail length and hyaline tail length (all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With the scanning electron microscope, it can be observed that the male head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an elevated labial disk. Differences exist in the female perineal pattern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 relatively higher dorsal arch and thicker striae) (EPPO, 2016a; see also Karssen,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reliably distinguished by morphological observation of females, males, and second-stage juveniles in combination with biochemical (isozyme electrophoresis) or molecular (PCR) methods; see EPPO, 2016. To predict the amount of potato tuber damage caused by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 quantitative DNA-test was developed for soil (Hay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Standards PM 7/119 (EPPO, 2013a) and PM 7/41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in order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molecular methods have been used. Karssen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 discriminated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females by their esterase (EC 3.1.1.1) and malate dehydrogenase (EC 1.1.1.37) isozyme patterns, using the general method of Esbenshade &amp; Triantaphyllou (1985) for identification of female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by isozyme electrophoresis. Additionally, the isozyme glucose 6-phosphate dehydrogenase (EC 1.1.1.49) was used to differentiate the two species (van der Beek &amp; Karssen, 1997). van der Beek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and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used mini two-dimensional gel electrophoresis to study the total soluble protein patterns of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confirmed these species to be distinct biological groups.  An overwhelming number of molecular tests has been developed to identify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soil, root or tubers and to separate it from related species such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including PCR (Peterson &amp; Vrain, 1996, Peterson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PCR RFLP (Zijlstra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Zijlstra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1997) AFLP (v.d. 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Fargette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SCAR (Zijlstra, 2000;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 time TaqMan PCR (Zijlstra &amp; v. Hoof, 2006; de Haan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RAPD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satDNA (Castagnone-Sereno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Castagnone-Sereno, 2000; Mestrovich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&amp; 2013), LAMP (Zhang &amp; Gleason, 2019), HRMC (Holterman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barcoding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2016b). A serological test was also developed to separate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other root-knot nematodes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Only a selection of the above-mentioned tests are recommended for identification (see EPPO, 2016a).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has very limited potential for natural movement; only second-stage juveniles can move in the soil and, at most, only a few tens of centimetres. The most likely pathway for introducing</w:t>
      </w:r>
      <w:r>
        <w:rPr>
          <w:rFonts w:ascii="Calibri" w:hAnsi="Calibri" w:eastAsia="Calibri" w:cs="Calibri"/>
          <w:i/>
          <w:iCs/>
          <w:color w:val="000000"/>
          <w:sz w:val="22"/>
          <w:szCs w:val="22"/>
        </w:rPr>
        <w:t xml:space="preserve"> M. fallax </w:t>
      </w:r>
      <w:r>
        <w:rPr>
          <w:rFonts w:ascii="Calibri" w:hAnsi="Calibri" w:eastAsia="Calibri" w:cs="Calibri"/>
          <w:color w:val="000000"/>
          <w:sz w:val="22"/>
          <w:szCs w:val="22"/>
        </w:rPr>
        <w:t xml:space="preserve">into a new area is through the movement of infested or contaminated planting material. Infested host plants or host products such as bulbs or tubers can easily transport the nematode. The movement of non-host plants for planting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could also result in spread (EPPO, 2013b). Soil as such is also a possible pathway. Infective juveniles of this genus have been known to persist for more than one year in the absence of host plants.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trials,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caused the same symptoms on potato tubers, black salsify and carrots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external galling and internal necrosis just below the skin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van Riel &amp; Goossens, 1996). The reported natural outbreaks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on potato showed these external symptoms (Karssen, 1996). Goosens (1995) reported infected </w:t>
      </w:r>
      <w:r>
        <w:rPr>
          <w:rFonts w:ascii="Calibri" w:hAnsi="Calibri" w:eastAsia="Calibri" w:cs="Calibri"/>
          <w:i/>
          <w:iCs/>
          <w:color w:val="000000"/>
          <w:sz w:val="22"/>
          <w:szCs w:val="22"/>
        </w:rPr>
        <w:t xml:space="preserve">Asparagus officinalis </w:t>
      </w:r>
      <w:r>
        <w:rPr>
          <w:rFonts w:ascii="Calibri" w:hAnsi="Calibri" w:eastAsia="Calibri" w:cs="Calibri"/>
          <w:color w:val="000000"/>
          <w:sz w:val="22"/>
          <w:szCs w:val="22"/>
        </w:rPr>
        <w:t xml:space="preserve">and several ornamentals with root-knots in an experimental field with an infestation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sometimes occurs in mixed infestations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mainly induces quality losses caused by cosmetic damage on black salsify, leek, carrot and potato. If the level of infection is high a complete rejection of these crops is possible. So far, this nematode has a limited damaging effect on other known host crops (EFSA,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direct practical experience of the control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Research on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in the Netherlands has focused on host suitability, damage thresholds, effect of fallow, the use of green manure crops and time of sowing. The first results indicate that fallow for one year reduced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population by more than 95%, but this reduction was not sufficient to ensure that subsequent crops met quality standards. There was less damage in sugar beet and carrot when these crops were sown later in spring. Farmers are advised to be careful when growing green-manure crops on infested fields, because some species are suitable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the only tested crop with no reproduction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while maize and cereals were poor hosts (Brommer, 1996). Several green manures were tested, and no reproduction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on </w:t>
      </w:r>
      <w:r>
        <w:rPr>
          <w:rFonts w:ascii="Calibri" w:hAnsi="Calibri" w:eastAsia="Calibri" w:cs="Calibri"/>
          <w:i/>
          <w:iCs/>
          <w:color w:val="000000"/>
          <w:sz w:val="22"/>
          <w:szCs w:val="22"/>
        </w:rPr>
        <w:t xml:space="preserve">Eruca Sativa</w:t>
      </w:r>
      <w:r>
        <w:rPr>
          <w:rFonts w:ascii="Calibri" w:hAnsi="Calibri" w:eastAsia="Calibri" w:cs="Calibri"/>
          <w:color w:val="000000"/>
          <w:sz w:val="22"/>
          <w:szCs w:val="22"/>
        </w:rPr>
        <w:t xml:space="preserve"> cv Trio, </w:t>
      </w:r>
      <w:r>
        <w:rPr>
          <w:rFonts w:ascii="Calibri" w:hAnsi="Calibri" w:eastAsia="Calibri" w:cs="Calibri"/>
          <w:i/>
          <w:iCs/>
          <w:color w:val="000000"/>
          <w:sz w:val="22"/>
          <w:szCs w:val="22"/>
        </w:rPr>
        <w:t xml:space="preserve">Tagetus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Borago</w:t>
      </w:r>
      <w:r>
        <w:rPr>
          <w:rFonts w:ascii="Calibri" w:hAnsi="Calibri" w:eastAsia="Calibri" w:cs="Calibri"/>
          <w:color w:val="000000"/>
          <w:sz w:val="22"/>
          <w:szCs w:val="22"/>
        </w:rPr>
        <w:t xml:space="preserve"> spp., while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was a poor host.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turned out to be a very good host (Visser &amp; Molendijk, 2015).</w:t>
      </w:r>
    </w:p>
    <w:p>
      <w:pPr>
        <w:widowControl w:val="on"/>
        <w:pBdr/>
        <w:spacing w:before="220" w:after="220" w:line="240" w:lineRule="auto"/>
        <w:ind w:left="0" w:right="0"/>
        <w:jc w:val="both"/>
      </w:pPr>
      <w:r>
        <w:rPr>
          <w:rFonts w:ascii="Calibri" w:hAnsi="Calibri" w:eastAsia="Calibri" w:cs="Calibri"/>
          <w:color w:val="000000"/>
          <w:sz w:val="22"/>
          <w:szCs w:val="22"/>
        </w:rPr>
        <w:t xml:space="preserve">Janssen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tested several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to determine the level of resistance to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High resistance to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genotypes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bulbocastanum, S. hougasii, S. cardiophyllum, S. fendleri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brachistotrichum. </w:t>
      </w:r>
      <w:r>
        <w:rPr>
          <w:rFonts w:ascii="Calibri" w:hAnsi="Calibri" w:eastAsia="Calibri" w:cs="Calibri"/>
          <w:color w:val="000000"/>
          <w:sz w:val="22"/>
          <w:szCs w:val="22"/>
        </w:rPr>
        <w:t xml:space="preserve">Differential resistance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S. </w:t>
      </w:r>
      <w:r>
        <w:rPr>
          <w:rFonts w:ascii="Calibri" w:hAnsi="Calibri" w:eastAsia="Calibri" w:cs="Calibri"/>
          <w:i/>
          <w:iCs/>
          <w:color w:val="000000"/>
          <w:sz w:val="22"/>
          <w:szCs w:val="22"/>
        </w:rPr>
        <w:t xml:space="preserve">chacoense, S. stoloniferum </w:t>
      </w:r>
      <w:r>
        <w:rPr>
          <w:rFonts w:ascii="Calibri" w:hAnsi="Calibri" w:eastAsia="Calibri" w:cs="Calibri"/>
          <w:color w:val="000000"/>
          <w:sz w:val="22"/>
          <w:szCs w:val="22"/>
        </w:rPr>
        <w:t xml:space="preserve">and S. </w:t>
      </w:r>
      <w:r>
        <w:rPr>
          <w:rFonts w:ascii="Calibri" w:hAnsi="Calibri" w:eastAsia="Calibri" w:cs="Calibri"/>
          <w:i/>
          <w:iCs/>
          <w:color w:val="000000"/>
          <w:sz w:val="22"/>
          <w:szCs w:val="22"/>
        </w:rPr>
        <w:t xml:space="preserve">gourlayi. </w:t>
      </w:r>
      <w:r>
        <w:rPr>
          <w:rFonts w:ascii="Calibri" w:hAnsi="Calibri" w:eastAsia="Calibri" w:cs="Calibri"/>
          <w:color w:val="000000"/>
          <w:sz w:val="22"/>
          <w:szCs w:val="22"/>
        </w:rPr>
        <w:t xml:space="preserve">Resistance to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also found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 resistance gene was studied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By crossing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with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successful introgression of resistance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potato was obtained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useful resistance against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in sea beet (</w:t>
      </w:r>
      <w:r>
        <w:rPr>
          <w:rFonts w:ascii="Calibri" w:hAnsi="Calibri" w:eastAsia="Calibri" w:cs="Calibri"/>
          <w:i/>
          <w:iCs/>
          <w:color w:val="000000"/>
          <w:sz w:val="22"/>
          <w:szCs w:val="22"/>
        </w:rPr>
        <w:t xml:space="preserve">Beta maritima</w:t>
      </w:r>
      <w:r>
        <w:rPr>
          <w:rFonts w:ascii="Calibri" w:hAnsi="Calibri" w:eastAsia="Calibri" w:cs="Calibri"/>
          <w:color w:val="000000"/>
          <w:sz w:val="22"/>
          <w:szCs w:val="22"/>
        </w:rPr>
        <w:t xml:space="preserv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used to develop a resistant sugar beet line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(Yu, 2001).</w:t>
      </w:r>
    </w:p>
    <w:p>
      <w:pPr>
        <w:widowControl w:val="on"/>
        <w:pBdr/>
        <w:spacing w:before="220" w:after="220" w:line="240" w:lineRule="auto"/>
        <w:ind w:left="0" w:right="0"/>
        <w:jc w:val="both"/>
      </w:pPr>
      <w:r>
        <w:rPr>
          <w:rFonts w:ascii="Calibri" w:hAnsi="Calibri" w:eastAsia="Calibri" w:cs="Calibri"/>
          <w:color w:val="000000"/>
          <w:sz w:val="22"/>
          <w:szCs w:val="22"/>
        </w:rPr>
        <w:t xml:space="preserve">Wesemael &amp; Moens (2012) tested ten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cultivars and noted that all these cultivars were non-hosts or poor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interesting potential control method consists of using the hyper-parasitic bacterium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spp. So far three different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are reported to be able to parasitize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penetrans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hartismeri</w:t>
      </w:r>
      <w:r>
        <w:rPr>
          <w:rFonts w:ascii="Calibri" w:hAnsi="Calibri" w:eastAsia="Calibri" w:cs="Calibri"/>
          <w:color w:val="000000"/>
          <w:sz w:val="22"/>
          <w:szCs w:val="22"/>
        </w:rPr>
        <w:t xml:space="preserve">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Bishop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occurs in crops and situations which are similar to those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two species are closely related and difficult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presents a phytosanitary risk similar to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(EFSA, 2012).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may be able to establish in a large proportion of its host area but may only cause significant damage in certain areas and under certain conditions, causing complete crop rejection (e.g. on potato, carrot and/or black salsify). Soils with a coarse texture such as sandy and sandy-loam soils have a higher probability of being contaminated. Narrow rotation or rotation with alternative hosts facilitates a rapid build-up of population levels and therefore increases the risk for establishment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a particular field. As observed since 1992,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expected to spread slowly (EFSA,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machineries, equipment, vehicles, and passengers’ shoes can be cleaned. Publicity would allow to enhance public awareness on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 MAM, Phillips MS &amp; Blok VC (2007) Molecular diagnostic key for identification of single juveniles of seven common and economically important species of root-knot nematode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190-197.</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AH, Gowen SR, Pembroke B &amp; Trotter JR (2007) Morphological and molecular characteristics of a new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parasitic on </w:t>
      </w:r>
      <w:r>
        <w:rPr>
          <w:rFonts w:ascii="Calibri" w:hAnsi="Calibri" w:eastAsia="Calibri" w:cs="Calibri"/>
          <w:i/>
          <w:iCs/>
          <w:color w:val="000000"/>
          <w:sz w:val="22"/>
          <w:szCs w:val="22"/>
        </w:rPr>
        <w:t xml:space="preserve">Meloidogyne ardenensis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Invertebrate 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28-33.</w:t>
      </w:r>
    </w:p>
    <w:p>
      <w:pPr>
        <w:widowControl w:val="on"/>
        <w:pBdr/>
        <w:spacing w:before="220" w:after="220" w:line="240" w:lineRule="auto"/>
        <w:ind w:left="0" w:right="0"/>
        <w:jc w:val="left"/>
      </w:pPr>
      <w:r>
        <w:rPr>
          <w:rFonts w:ascii="Calibri" w:hAnsi="Calibri" w:eastAsia="Calibri" w:cs="Calibri"/>
          <w:color w:val="000000"/>
          <w:sz w:val="22"/>
          <w:szCs w:val="22"/>
        </w:rPr>
        <w:t xml:space="preserve">Brinkman H, Goossens JJM &amp; van Riel HR (1996) Comparative host suitability of selected crop plants to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Anzeiger für Schädlingskunde, Planzenschutz, Umweltschutz</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127-129.</w:t>
      </w:r>
    </w:p>
    <w:p>
      <w:pPr>
        <w:widowControl w:val="on"/>
        <w:pBdr/>
        <w:spacing w:before="220" w:after="220" w:line="240" w:lineRule="auto"/>
        <w:ind w:left="0" w:right="0"/>
        <w:jc w:val="left"/>
      </w:pPr>
      <w:r>
        <w:rPr>
          <w:rFonts w:ascii="Calibri" w:hAnsi="Calibri" w:eastAsia="Calibri" w:cs="Calibri"/>
          <w:color w:val="000000"/>
          <w:sz w:val="22"/>
          <w:szCs w:val="22"/>
        </w:rPr>
        <w:t xml:space="preserve">Brommer E (1996) [Control of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Publicatie Proefstation voor de Akkerbouw en de Groenteteelt in de Vollegrond</w:t>
      </w:r>
      <w:r>
        <w:rPr>
          <w:rFonts w:ascii="Calibri" w:hAnsi="Calibri" w:eastAsia="Calibri" w:cs="Calibri"/>
          <w:color w:val="000000"/>
          <w:sz w:val="22"/>
          <w:szCs w:val="22"/>
        </w:rPr>
        <w:t xml:space="preserve"> no. 81B, pp. 159-163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Leroy F, Bongiovanni M, Zijlstra C &amp; Abad P (1999) Specific diagnosis of the two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380-384.</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(2000) Use of satellite DNA for specific diagnosis of the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581-584.</w:t>
      </w:r>
    </w:p>
    <w:p>
      <w:pPr>
        <w:widowControl w:val="on"/>
        <w:pBdr/>
        <w:spacing w:before="220" w:after="220" w:line="240" w:lineRule="auto"/>
        <w:ind w:left="0" w:right="0"/>
        <w:jc w:val="left"/>
      </w:pPr>
      <w:r>
        <w:rPr>
          <w:rFonts w:ascii="Calibri" w:hAnsi="Calibri" w:eastAsia="Calibri" w:cs="Calibri"/>
          <w:color w:val="000000"/>
          <w:sz w:val="22"/>
          <w:szCs w:val="22"/>
        </w:rPr>
        <w:t xml:space="preserve">de Haan EG, Dekker CCEM, Tameling WIL, den Nijs LJMF, Bovenkamp GW &amp; van den Kooman-Gersmann M (2014) The MeloTuber Test: a real-time TaqManReq. PCR-based assay to detect the rootknot nematodes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&amp;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2012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EN-319</w:t>
      </w:r>
      <w:r>
        <w:rPr>
          <w:rFonts w:ascii="Calibri" w:hAnsi="Calibri" w:eastAsia="Calibri" w:cs="Calibri"/>
          <w:color w:val="000000"/>
          <w:sz w:val="22"/>
          <w:szCs w:val="22"/>
        </w:rPr>
        <w:t xml:space="preserve">.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EN-1572</w:t>
      </w:r>
      <w:r>
        <w:rPr>
          <w:rFonts w:ascii="Calibri" w:hAnsi="Calibri" w:eastAsia="Calibri" w:cs="Calibri"/>
          <w:color w:val="000000"/>
          <w:sz w:val="22"/>
          <w:szCs w:val="22"/>
        </w:rPr>
        <w:t xml:space="preserv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Elling AA (2013) Major emerging problems with minor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1092-1102.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4196698410c3c5c9"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92476698410c3c653"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 Available at: </w:t>
      </w:r>
      <w:hyperlink r:id="rId39876698410c3c707"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 Available at: </w:t>
      </w:r>
      <w:hyperlink r:id="rId19796698410c3c7c6"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Available at: </w:t>
      </w:r>
      <w:hyperlink r:id="rId85416698410c3c839"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 Available at: </w:t>
      </w:r>
      <w:hyperlink r:id="rId83296698410c3c8ec"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76956698410c3c96b"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PR &amp; Triantaphyllou AC (1985) Use of enzyme phenotypes for identification of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6-20.</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Lollier V, Phillips M, Blok V &amp; Erutos R (2005) AFLP analysis of the genetic diversity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major agricultural pests. </w:t>
      </w:r>
      <w:r>
        <w:rPr>
          <w:rFonts w:ascii="Calibri" w:hAnsi="Calibri" w:eastAsia="Calibri" w:cs="Calibri"/>
          <w:i/>
          <w:iCs/>
          <w:color w:val="000000"/>
          <w:sz w:val="22"/>
          <w:szCs w:val="22"/>
        </w:rPr>
        <w:t xml:space="preserve">Comtes Rendus Biologies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455-462.</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H, Zijlstra C &amp; McDonald AH (2001) Identification of root-knot nematode species occurring in South Africa using SCAR-PCR technique.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675-680.</w:t>
      </w:r>
    </w:p>
    <w:p>
      <w:pPr>
        <w:widowControl w:val="on"/>
        <w:pBdr/>
        <w:spacing w:before="220" w:after="220" w:line="240" w:lineRule="auto"/>
        <w:ind w:left="0" w:right="0"/>
        <w:jc w:val="left"/>
      </w:pPr>
      <w:r>
        <w:rPr>
          <w:rFonts w:ascii="Calibri" w:hAnsi="Calibri" w:eastAsia="Calibri" w:cs="Calibri"/>
          <w:color w:val="000000"/>
          <w:sz w:val="22"/>
          <w:szCs w:val="22"/>
        </w:rPr>
        <w:t xml:space="preserve">Goossens JJM (1995) Host range test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n.sp. In: Annual Report 1994 Diagnostic Centre, pp. 95-97.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Hay FS, Ophel-Keller K, Hartley DM &amp; Pethybridge SJ (2016) Prediction of potato tuber damage by root-knot nematodes using quantitative DNA assay of soil.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592-600.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Ostoja-Starzewski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 </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MHM, Karssen G, van den Elsen SJJ, van Megen HHB, Bakker J &amp; Helder H (2009) SSU rDNA-based phylogeny of the Tylenchida sheds light on the evolution of plant feeding &amp; establishes relationships among high impact plant parasitic nematodes.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MHN, Oggenfuss M, Frey JE &amp; Kiewnick S (2012) Evaluation of high-resolution melting curve analysis as a new tool for root-knot nematode diagnostics. </w:t>
      </w:r>
      <w:r>
        <w:rPr>
          <w:rFonts w:ascii="Calibri" w:hAnsi="Calibri" w:eastAsia="Calibri" w:cs="Calibri"/>
          <w:i/>
          <w:iCs/>
          <w:color w:val="000000"/>
          <w:sz w:val="22"/>
          <w:szCs w:val="22"/>
        </w:rPr>
        <w:t xml:space="preserve">Journal of 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59-66.Janssen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hapla </w:t>
      </w:r>
      <w:r>
        <w:rPr>
          <w:rFonts w:ascii="Calibri" w:hAnsi="Calibri" w:eastAsia="Calibri" w:cs="Calibri"/>
          <w:color w:val="000000"/>
          <w:sz w:val="22"/>
          <w:szCs w:val="22"/>
        </w:rPr>
        <w:t xml:space="preserve">in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287-294.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Janssen R, Van Norel A, Verkerk-Bakker B &amp; Hoogendoorn J (1996) Expression of resistance to the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wild</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under field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859-865.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(1997) Intra- and interspecific variation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with regard to resistance in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(1994) The use of isozyme phenotypes for the identification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 </w:t>
      </w:r>
      <w:r>
        <w:rPr>
          <w:rFonts w:ascii="Calibri" w:hAnsi="Calibri" w:eastAsia="Calibri" w:cs="Calibri"/>
          <w:i/>
          <w:iCs/>
          <w:color w:val="000000"/>
          <w:sz w:val="22"/>
          <w:szCs w:val="22"/>
        </w:rPr>
        <w:t xml:space="preserve">Annual Report 1992 Diagnostic Centre, </w:t>
      </w:r>
      <w:r>
        <w:rPr>
          <w:rFonts w:ascii="Calibri" w:hAnsi="Calibri" w:eastAsia="Calibri" w:cs="Calibri"/>
          <w:color w:val="000000"/>
          <w:sz w:val="22"/>
          <w:szCs w:val="22"/>
        </w:rPr>
        <w:t xml:space="preserve">pp. 85-88.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(1995) Morphological and biochemical differentiation in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populations in the Netherlands.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41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314-315.</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(1996) Description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n.sp. (Nematoda: Heteroderidae), a root-knot nematode fromthe Netherlands.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593-599.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van Hoenselaar T, Verkerk-Bakker B &amp; Janssen R (1995) Species identification of cyst and root-knot nematodes frompotato by electrophoresis of individual females. </w:t>
      </w:r>
      <w:r>
        <w:rPr>
          <w:rFonts w:ascii="Calibri" w:hAnsi="Calibri" w:eastAsia="Calibri" w:cs="Calibri"/>
          <w:i/>
          <w:iCs/>
          <w:color w:val="000000"/>
          <w:sz w:val="22"/>
          <w:szCs w:val="22"/>
        </w:rPr>
        <w:t xml:space="preserve">Electrophoresis </w:t>
      </w:r>
      <w:r>
        <w:rPr>
          <w:rFonts w:ascii="Calibri" w:hAnsi="Calibri" w:eastAsia="Calibri" w:cs="Calibri"/>
          <w:b/>
          <w:bCs/>
          <w:color w:val="000000"/>
          <w:sz w:val="22"/>
          <w:szCs w:val="22"/>
        </w:rPr>
        <w:t xml:space="preserve">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105-109.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(2002) </w:t>
      </w:r>
      <w:r>
        <w:rPr>
          <w:rFonts w:ascii="Calibri" w:hAnsi="Calibri" w:eastAsia="Calibri" w:cs="Calibri"/>
          <w:i/>
          <w:iCs/>
          <w:color w:val="000000"/>
          <w:sz w:val="22"/>
          <w:szCs w:val="22"/>
        </w:rPr>
        <w:t xml:space="preserve">The plant-parasitic nematode genus </w:t>
      </w:r>
      <w:r>
        <w:rPr>
          <w:rFonts w:ascii="Calibri" w:hAnsi="Calibri" w:eastAsia="Calibri" w:cs="Calibri"/>
          <w:color w:val="000000"/>
          <w:sz w:val="22"/>
          <w:szCs w:val="22"/>
        </w:rPr>
        <w:t xml:space="preserve">Meloidogyne</w:t>
      </w:r>
      <w:r>
        <w:rPr>
          <w:rFonts w:ascii="Calibri" w:hAnsi="Calibri" w:eastAsia="Calibri" w:cs="Calibri"/>
          <w:i/>
          <w:iCs/>
          <w:color w:val="000000"/>
          <w:sz w:val="22"/>
          <w:szCs w:val="22"/>
        </w:rPr>
        <w:t xml:space="preserve"> Göldi, 1892 in Europe</w:t>
      </w:r>
      <w:r>
        <w:rPr>
          <w:rFonts w:ascii="Calibri" w:hAnsi="Calibri" w:eastAsia="Calibri" w:cs="Calibri"/>
          <w:color w:val="000000"/>
          <w:sz w:val="22"/>
          <w:szCs w:val="22"/>
        </w:rPr>
        <w:t xml:space="preserve">. Brill Academic Publishers, the Netherlands. 157pp.</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Sobczak M, Bantec JP, Rouaux C, Ellisseche D &amp; Mugniery D (2004) Resistance to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389-400.</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Caromel B, Dantec JP, Fouville D, Manzanares-Dauleux M, Ellisseche D &amp; Mugniery D (2006) A major gene mapped on chromosome XII is the main factor of a quantitatively inherited resistance to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Theoritical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699-707.</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Phlol M &amp; Castagnone-Serone P (2009) Relevance of satellite DNA genomic distribution in phylogenetic analysis: a case study with root-knot nematodes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204-208.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Pavlek M, Car A, Castagnone-Serone P, Abad, P &amp; Plohl M (2013) Conserved DNA motifs, including CENP-B box-like, are possible promotors of satellite DNA array rearrangesments in nematodes.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e67328.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&amp; Vrain TC (1996) Rapid identification of </w:t>
      </w:r>
      <w:r>
        <w:rPr>
          <w:rFonts w:ascii="Calibri" w:hAnsi="Calibri" w:eastAsia="Calibri" w:cs="Calibri"/>
          <w:i/>
          <w:iCs/>
          <w:color w:val="000000"/>
          <w:sz w:val="22"/>
          <w:szCs w:val="22"/>
        </w:rPr>
        <w:t xml:space="preserve">Meloidogyne chitwoodi, M.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using PCR primers to amplify their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601-605.</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Zijlstra C, Wishart J, Blok V &amp; Vrain T (1997) Specific probes efficiently distinguish root-knot nematode species using signature in the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Rohan TC, Aalders LT, Bell NL &amp; Shah FA (2016) First report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hosted by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(white clover): implications for pasture and crop rotations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Tastet, C, Val F, Lesage M, Renault L, Marche L, Bossis, M &amp; Mugniery D (2001) Application of a putative fatty-acid binding protein to discriminate serologically the two European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821-832.</w:t>
      </w:r>
    </w:p>
    <w:p>
      <w:pPr>
        <w:widowControl w:val="on"/>
        <w:pBdr/>
        <w:spacing w:before="220" w:after="220" w:line="240" w:lineRule="auto"/>
        <w:ind w:left="0" w:right="0"/>
        <w:jc w:val="left"/>
      </w:pPr>
      <w:r>
        <w:rPr>
          <w:rFonts w:ascii="Calibri" w:hAnsi="Calibri" w:eastAsia="Calibri" w:cs="Calibri"/>
          <w:color w:val="000000"/>
          <w:sz w:val="22"/>
          <w:szCs w:val="22"/>
        </w:rPr>
        <w:t xml:space="preserve">Topalović O, Moore JF, Janssen T, Bert W &amp; Karssen G (2017) An early record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from Ireland.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643</w:t>
      </w:r>
      <w:r>
        <w:rPr>
          <w:rFonts w:ascii="Calibri" w:hAnsi="Calibri" w:eastAsia="Calibri" w:cs="Calibri"/>
          <w:color w:val="000000"/>
          <w:sz w:val="22"/>
          <w:szCs w:val="22"/>
        </w:rPr>
        <w:t xml:space="preserve">, 33–52. </w:t>
      </w:r>
      <w:hyperlink r:id="rId39286698410c3d628" w:history="1">
        <w:r>
          <w:rPr>
            <w:rFonts w:ascii="Calibri" w:hAnsi="Calibri" w:eastAsia="Calibri" w:cs="Calibri"/>
            <w:color w:val="0000CC"/>
            <w:sz w:val="22"/>
            <w:szCs w:val="22"/>
            <w:u w:val="single"/>
          </w:rPr>
          <w:t xml:space="preserve">https://doi.org/10.3897/zookeys.643.11266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(1997) Isolate-by-cultivar interaction in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on potato. In: </w:t>
      </w:r>
      <w:r>
        <w:rPr>
          <w:rFonts w:ascii="Calibri" w:hAnsi="Calibri" w:eastAsia="Calibri" w:cs="Calibri"/>
          <w:i/>
          <w:iCs/>
          <w:color w:val="000000"/>
          <w:sz w:val="22"/>
          <w:szCs w:val="22"/>
        </w:rPr>
        <w:t xml:space="preserve">Interaction between root-knot nematodes and Solanum spp. variation in pathogenicity, cytology, proteins and DNA. </w:t>
      </w:r>
      <w:r>
        <w:rPr>
          <w:rFonts w:ascii="Calibri" w:hAnsi="Calibri" w:eastAsia="Calibri" w:cs="Calibri"/>
          <w:color w:val="000000"/>
          <w:sz w:val="22"/>
          <w:szCs w:val="22"/>
        </w:rPr>
        <w:t xml:space="preserve">pp. 41-53. Thesis, Wageningen Agricultural University,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&amp; Karssen G (1997) Interspecific hybridization of meiotic parthenogenetic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M. fallax. Phytopathology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1061-1066.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Poleij LM, van Koert PHG &amp; Bakker J (1997) Molecular evidence that </w:t>
      </w:r>
      <w:r>
        <w:rPr>
          <w:rFonts w:ascii="Calibri" w:hAnsi="Calibri" w:eastAsia="Calibri" w:cs="Calibri"/>
          <w:i/>
          <w:iCs/>
          <w:color w:val="000000"/>
          <w:sz w:val="22"/>
          <w:szCs w:val="22"/>
        </w:rPr>
        <w:t xml:space="preserve">Meloidogyne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are distinct biological entities.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513-520.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Zijlstra C, van Koert PHG, Poleij LM &amp; Bakker J (1998) Genetic variation among parthenogenetic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revealed by AFLPs and 2D-protein electrophoresis contrasted to morphology.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401-411.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Meggelen JC, Karssen G, Janssen GJW, Verkerk B &amp; Janssen R (1994) A new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Fundamental and appliedNematology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,93.</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&amp; Goossens JJM (1996) Response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to differential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Annual Report 1995 Diagnostic Centre,</w:t>
      </w:r>
      <w:r>
        <w:rPr>
          <w:rFonts w:ascii="Calibri" w:hAnsi="Calibri" w:eastAsia="Calibri" w:cs="Calibri"/>
          <w:color w:val="000000"/>
          <w:sz w:val="22"/>
          <w:szCs w:val="22"/>
        </w:rPr>
        <w:t xml:space="preserve"> pp. 100-101.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Visser JHM &amp; Molendijk LPG (2015) [Host suitability new green manures for plant-parasitic nematodes]. </w:t>
      </w:r>
      <w:r>
        <w:rPr>
          <w:rFonts w:ascii="Calibri" w:hAnsi="Calibri" w:eastAsia="Calibri" w:cs="Calibri"/>
          <w:i/>
          <w:iCs/>
          <w:color w:val="000000"/>
          <w:sz w:val="22"/>
          <w:szCs w:val="22"/>
        </w:rPr>
        <w:t xml:space="preserve">Publicatie WUR, Praktijkonderzoek Plant &amp; Omgeving </w:t>
      </w:r>
      <w:r>
        <w:rPr>
          <w:rFonts w:ascii="Calibri" w:hAnsi="Calibri" w:eastAsia="Calibri" w:cs="Calibri"/>
          <w:color w:val="000000"/>
          <w:sz w:val="22"/>
          <w:szCs w:val="22"/>
        </w:rPr>
        <w:t xml:space="preserve">no. 633, 29pp.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Perry RN &amp; Moens M (2006) The influence of the root diffusate and host age on hatching of the root-knot nematodes.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895-902.</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&amp; Moens M (2012) Screening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for resistance against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702-708. </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Phillips MS &amp; Blok VC (2002) Ribosomal intergenic spacer: a polymerase chain reaction diagnostic for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884-892.</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Blok VC, Phillips MS &amp; Davies KG (2004) </w:t>
      </w:r>
      <w:r>
        <w:rPr>
          <w:rFonts w:ascii="Calibri" w:hAnsi="Calibri" w:eastAsia="Calibri" w:cs="Calibri"/>
          <w:i/>
          <w:iCs/>
          <w:color w:val="000000"/>
          <w:sz w:val="22"/>
          <w:szCs w:val="22"/>
        </w:rPr>
        <w:t xml:space="preserve">Pasteuria penetrans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attachment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507-510.</w:t>
      </w:r>
    </w:p>
    <w:p>
      <w:pPr>
        <w:widowControl w:val="on"/>
        <w:pBdr/>
        <w:spacing w:before="220" w:after="220" w:line="240" w:lineRule="auto"/>
        <w:ind w:left="0" w:right="0"/>
        <w:jc w:val="left"/>
      </w:pPr>
      <w:r>
        <w:rPr>
          <w:rFonts w:ascii="Calibri" w:hAnsi="Calibri" w:eastAsia="Calibri" w:cs="Calibri"/>
          <w:color w:val="000000"/>
          <w:sz w:val="22"/>
          <w:szCs w:val="22"/>
        </w:rPr>
        <w:t xml:space="preserve">Yu M, Heijbroek W &amp; Pakish LM (1999) The sea beet source of resistance to multiple species of root-knot nematode.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151-155.</w:t>
      </w:r>
    </w:p>
    <w:p>
      <w:pPr>
        <w:widowControl w:val="on"/>
        <w:pBdr/>
        <w:spacing w:before="220" w:after="220" w:line="240" w:lineRule="auto"/>
        <w:ind w:left="0" w:right="0"/>
        <w:jc w:val="left"/>
      </w:pPr>
      <w:r>
        <w:rPr>
          <w:rFonts w:ascii="Calibri" w:hAnsi="Calibri" w:eastAsia="Calibri" w:cs="Calibri"/>
          <w:color w:val="000000"/>
          <w:sz w:val="22"/>
          <w:szCs w:val="22"/>
        </w:rPr>
        <w:t xml:space="preserve">Yu MH (2001) Registration of M6-1 root-knot nematode resistant sugarbeet germplasm.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278-279.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(2019) Loop-mediated isothermal amplification for the diagnostic detection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(1997) A fast PCR assay to identify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to sensitively differentiate them from each other and from</w:t>
      </w:r>
      <w:r>
        <w:rPr>
          <w:rFonts w:ascii="Calibri" w:hAnsi="Calibri" w:eastAsia="Calibri" w:cs="Calibri"/>
          <w:i/>
          <w:iCs/>
          <w:color w:val="000000"/>
          <w:sz w:val="22"/>
          <w:szCs w:val="22"/>
        </w:rPr>
        <w:t xml:space="preserve"> 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incognita</w:t>
      </w:r>
      <w:r>
        <w:rPr>
          <w:rFonts w:ascii="Calibri" w:hAnsi="Calibri" w:eastAsia="Calibri" w:cs="Calibri"/>
          <w:color w:val="000000"/>
          <w:sz w:val="22"/>
          <w:szCs w:val="22"/>
        </w:rPr>
        <w:t xml:space="preserve"> in mixtures.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505-511.</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Lever AEM, Uenk BJ &amp; van Silfhout CH (1995) Differences between ITS regions of isolates of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1231-1237.</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(2000) Reliable identification of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by PCR-based techniques.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&amp; van Hoof RA (2006) A multiplex real-time polymerase chain reaction (TaqMan) assay for the simultaneous detection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1255-1262.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Karssen G.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EPPO datasheets on pests recommended for regulation. Available online. </w:t>
      </w:r>
      <w:hyperlink r:id="rId85176698410c3e1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493-496. </w:t>
      </w:r>
      <w:hyperlink r:id="rId45096698410c3e20b" w:history="1">
        <w:r>
          <w:rPr>
            <w:rFonts w:ascii="Calibri" w:hAnsi="Calibri" w:eastAsia="Calibri" w:cs="Calibri"/>
            <w:color w:val="0000CC"/>
            <w:sz w:val="22"/>
            <w:szCs w:val="22"/>
            <w:u w:val="single"/>
          </w:rPr>
          <w:t xml:space="preserve">https://doi.org/10.1111/j.1365-2338.1999.tb01425.x</w:t>
        </w:r>
      </w:hyperlink>
      <w:r>
        <w:rPr>
          <w:rFonts w:ascii="Calibri" w:hAnsi="Calibri" w:eastAsia="Calibri" w:cs="Calibri"/>
          <w:color w:val="000000"/>
          <w:sz w:val="22"/>
          <w:szCs w:val="22"/>
        </w:rPr>
        <w:t xml:space="preserve"> </w:t>
      </w:r>
    </w:p>
    <w:p>
      <w:r>
        <w:drawing>
          <wp:inline distT="0" distB="0" distL="0" distR="0">
            <wp:extent cx="0" cy="0"/>
            <wp:docPr id="68386190" name="name29036698410c3e44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456698410c3e44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86704">
    <w:multiLevelType w:val="hybridMultilevel"/>
    <w:lvl w:ilvl="0" w:tplc="40229743">
      <w:start w:val="1"/>
      <w:numFmt w:val="decimal"/>
      <w:lvlText w:val="%1."/>
      <w:lvlJc w:val="left"/>
      <w:pPr>
        <w:ind w:left="720" w:hanging="360"/>
      </w:pPr>
    </w:lvl>
    <w:lvl w:ilvl="1" w:tplc="40229743" w:tentative="1">
      <w:start w:val="1"/>
      <w:numFmt w:val="lowerLetter"/>
      <w:lvlText w:val="%2."/>
      <w:lvlJc w:val="left"/>
      <w:pPr>
        <w:ind w:left="1440" w:hanging="360"/>
      </w:pPr>
    </w:lvl>
    <w:lvl w:ilvl="2" w:tplc="40229743" w:tentative="1">
      <w:start w:val="1"/>
      <w:numFmt w:val="lowerRoman"/>
      <w:lvlText w:val="%3."/>
      <w:lvlJc w:val="right"/>
      <w:pPr>
        <w:ind w:left="2160" w:hanging="180"/>
      </w:pPr>
    </w:lvl>
    <w:lvl w:ilvl="3" w:tplc="40229743" w:tentative="1">
      <w:start w:val="1"/>
      <w:numFmt w:val="decimal"/>
      <w:lvlText w:val="%4."/>
      <w:lvlJc w:val="left"/>
      <w:pPr>
        <w:ind w:left="2880" w:hanging="360"/>
      </w:pPr>
    </w:lvl>
    <w:lvl w:ilvl="4" w:tplc="40229743" w:tentative="1">
      <w:start w:val="1"/>
      <w:numFmt w:val="lowerLetter"/>
      <w:lvlText w:val="%5."/>
      <w:lvlJc w:val="left"/>
      <w:pPr>
        <w:ind w:left="3600" w:hanging="360"/>
      </w:pPr>
    </w:lvl>
    <w:lvl w:ilvl="5" w:tplc="40229743" w:tentative="1">
      <w:start w:val="1"/>
      <w:numFmt w:val="lowerRoman"/>
      <w:lvlText w:val="%6."/>
      <w:lvlJc w:val="right"/>
      <w:pPr>
        <w:ind w:left="4320" w:hanging="180"/>
      </w:pPr>
    </w:lvl>
    <w:lvl w:ilvl="6" w:tplc="40229743" w:tentative="1">
      <w:start w:val="1"/>
      <w:numFmt w:val="decimal"/>
      <w:lvlText w:val="%7."/>
      <w:lvlJc w:val="left"/>
      <w:pPr>
        <w:ind w:left="5040" w:hanging="360"/>
      </w:pPr>
    </w:lvl>
    <w:lvl w:ilvl="7" w:tplc="40229743" w:tentative="1">
      <w:start w:val="1"/>
      <w:numFmt w:val="lowerLetter"/>
      <w:lvlText w:val="%8."/>
      <w:lvlJc w:val="left"/>
      <w:pPr>
        <w:ind w:left="5760" w:hanging="360"/>
      </w:pPr>
    </w:lvl>
    <w:lvl w:ilvl="8" w:tplc="40229743" w:tentative="1">
      <w:start w:val="1"/>
      <w:numFmt w:val="lowerRoman"/>
      <w:lvlText w:val="%9."/>
      <w:lvlJc w:val="right"/>
      <w:pPr>
        <w:ind w:left="6480" w:hanging="180"/>
      </w:pPr>
    </w:lvl>
  </w:abstractNum>
  <w:abstractNum w:abstractNumId="35886703">
    <w:multiLevelType w:val="hybridMultilevel"/>
    <w:lvl w:ilvl="0" w:tplc="80525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86703">
    <w:abstractNumId w:val="35886703"/>
  </w:num>
  <w:num w:numId="35886704">
    <w:abstractNumId w:val="358867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4153948" Type="http://schemas.microsoft.com/office/2011/relationships/commentsExtended" Target="commentsExtended.xml"/><Relationship Id="rId877754523" Type="http://schemas.microsoft.com/office/2011/relationships/people" Target="people.xml"/><Relationship Id="rId47706698410c1a332" Type="http://schemas.openxmlformats.org/officeDocument/2006/relationships/hyperlink" Target="https://gd.eppo.int/taxon/MELGFA/" TargetMode="External"/><Relationship Id="rId40286698410c1a39f" Type="http://schemas.openxmlformats.org/officeDocument/2006/relationships/hyperlink" Target="https://gd.eppo.int/taxon/MELGFA/categorization" TargetMode="External"/><Relationship Id="rId74906698410c2b3d4" Type="http://schemas.openxmlformats.org/officeDocument/2006/relationships/hyperlink" Target="https://gd.eppo.int/taxon/MELGFA/photos" TargetMode="External"/><Relationship Id="rId14196698410c3c5c9" Type="http://schemas.openxmlformats.org/officeDocument/2006/relationships/hyperlink" Target="https://gd.eppo.int/standards/PM3/" TargetMode="External"/><Relationship Id="rId92476698410c3c653" Type="http://schemas.openxmlformats.org/officeDocument/2006/relationships/hyperlink" Target="https://gd.eppo.int/standards/PM7/" TargetMode="External"/><Relationship Id="rId39876698410c3c707" Type="http://schemas.openxmlformats.org/officeDocument/2006/relationships/hyperlink" Target="https://gd.eppo.int/standards/PM9/" TargetMode="External"/><Relationship Id="rId19796698410c3c7c6" Type="http://schemas.openxmlformats.org/officeDocument/2006/relationships/hyperlink" Target="https://gd.eppo.int/standards/PM7/" TargetMode="External"/><Relationship Id="rId85416698410c3c839" Type="http://schemas.openxmlformats.org/officeDocument/2006/relationships/hyperlink" Target="https://gd.eppo.int/standards/PM7/" TargetMode="External"/><Relationship Id="rId83296698410c3c8ec" Type="http://schemas.openxmlformats.org/officeDocument/2006/relationships/hyperlink" Target="https://gd.eppo.int/standards/PM3/" TargetMode="External"/><Relationship Id="rId76956698410c3c96b" Type="http://schemas.openxmlformats.org/officeDocument/2006/relationships/hyperlink" Target="https://gd.eppo.int/standards/PM3/" TargetMode="External"/><Relationship Id="rId39286698410c3d628" Type="http://schemas.openxmlformats.org/officeDocument/2006/relationships/hyperlink" Target="https://doi.org/10.3897/zookeys.643.11266" TargetMode="External"/><Relationship Id="rId85176698410c3e13a" Type="http://schemas.openxmlformats.org/officeDocument/2006/relationships/hyperlink" Target="https://gd.eppo.int" TargetMode="External"/><Relationship Id="rId45096698410c3e20b" Type="http://schemas.openxmlformats.org/officeDocument/2006/relationships/hyperlink" Target="https://doi.org/10.1111/j.1365-2338.1999.tb01425.x" TargetMode="External"/><Relationship Id="rId89486698410c1aa9b" Type="http://schemas.openxmlformats.org/officeDocument/2006/relationships/image" Target="media/imgrId89486698410c1aa9b.jpg"/><Relationship Id="rId81076698410c2d1ec" Type="http://schemas.openxmlformats.org/officeDocument/2006/relationships/image" Target="media/imgrId81076698410c2d1ec.jpg"/><Relationship Id="rId22456698410c3e44b" Type="http://schemas.openxmlformats.org/officeDocument/2006/relationships/image" Target="media/imgrId22456698410c3e4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