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fallax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fallax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Karssen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false Columbia root-knot nematode</w:t>
            </w:r>
            <w:hyperlink r:id="rId43856a94e6e017f5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1076a94e6e017fc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265754" name="name31836a94e6e01872b" descr="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jpg"/>
                          <pic:cNvPicPr/>
                        </pic:nvPicPr>
                        <pic:blipFill>
                          <a:blip r:embed="rId56306a94e6e018729" cstate="print"/>
                          <a:stretch>
                            <a:fillRect/>
                          </a:stretch>
                        </pic:blipFill>
                        <pic:spPr>
                          <a:xfrm>
                            <a:off x="0" y="0"/>
                            <a:ext cx="2160000" cy="1281600"/>
                          </a:xfrm>
                          <a:prstGeom prst="rect">
                            <a:avLst/>
                          </a:prstGeom>
                          <a:ln w="0">
                            <a:noFill/>
                          </a:ln>
                        </pic:spPr>
                      </pic:pic>
                    </a:graphicData>
                  </a:graphic>
                </wp:inline>
              </w:drawing>
            </w:r>
            <w:hyperlink r:id="rId26736a94e6e01884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was detected for the first time in 1992 in a field plot experiment 1.5 km north of Baexem (NL), and was initially considered as a deviant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 </w:t>
      </w:r>
      <w:r>
        <w:rPr>
          <w:rFonts w:ascii="Calibri" w:hAnsi="Calibri" w:eastAsia="Calibri" w:cs="Calibri"/>
          <w:color w:val="000000"/>
          <w:sz w:val="22"/>
          <w:szCs w:val="22"/>
        </w:rPr>
        <w:t xml:space="preserve">Golden population (Karssen, 1994). On the basis of differences in isozyme patterns,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proposed as a new race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Meggelen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 and named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B-type (Karssen, 1995). As more differences between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the B-types were discovered, this race status became unacceptable,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described as a new species (Karssen,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detected on and described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Host-range includes a wide range of dicotyledonous and monocotyledons plants, including weeds, ornamentals, and economically important crops such as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tomato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lycopersicum</w:t>
      </w:r>
      <w:r>
        <w:rPr>
          <w:rFonts w:ascii="Calibri" w:hAnsi="Calibri" w:eastAsia="Calibri" w:cs="Calibri"/>
          <w:color w:val="000000"/>
          <w:sz w:val="22"/>
          <w:szCs w:val="22"/>
        </w:rPr>
        <w:t xml:space="preserve">). The experimental host range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mostly overlaps that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but differential hosts have been found. For example dwarf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valerian </w:t>
      </w:r>
      <w:r>
        <w:rPr>
          <w:rFonts w:ascii="Calibri" w:hAnsi="Calibri" w:eastAsia="Calibri" w:cs="Calibri"/>
          <w:i/>
          <w:iCs/>
          <w:color w:val="000000"/>
          <w:sz w:val="22"/>
          <w:szCs w:val="22"/>
        </w:rPr>
        <w:t xml:space="preserve">(Valeriana officinalis), </w:t>
      </w:r>
      <w:r>
        <w:rPr>
          <w:rFonts w:ascii="Calibri" w:hAnsi="Calibri" w:eastAsia="Calibri" w:cs="Calibri"/>
          <w:color w:val="000000"/>
          <w:sz w:val="22"/>
          <w:szCs w:val="22"/>
        </w:rPr>
        <w:t xml:space="preserve">maize </w:t>
      </w:r>
      <w:r>
        <w:rPr>
          <w:rFonts w:ascii="Calibri" w:hAnsi="Calibri" w:eastAsia="Calibri" w:cs="Calibri"/>
          <w:i/>
          <w:iCs/>
          <w:color w:val="000000"/>
          <w:sz w:val="22"/>
          <w:szCs w:val="22"/>
        </w:rPr>
        <w:t xml:space="preserve">(Zea mays), Erica cinerea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Potentilla fruticosa</w:t>
      </w:r>
      <w:r>
        <w:rPr>
          <w:rFonts w:ascii="Calibri" w:hAnsi="Calibri" w:eastAsia="Calibri" w:cs="Calibri"/>
          <w:color w:val="000000"/>
          <w:sz w:val="22"/>
          <w:szCs w:val="22"/>
        </w:rPr>
        <w:t xml:space="preserve"> are good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not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while the reverse is the case for </w:t>
      </w:r>
      <w:r>
        <w:rPr>
          <w:rFonts w:ascii="Calibri" w:hAnsi="Calibri" w:eastAsia="Calibri" w:cs="Calibri"/>
          <w:i/>
          <w:iCs/>
          <w:color w:val="000000"/>
          <w:sz w:val="22"/>
          <w:szCs w:val="22"/>
        </w:rPr>
        <w:t xml:space="preserve">Oenothera glazioviana, Phacelia tanacetifolia, Hemerocallis </w:t>
      </w:r>
      <w:r>
        <w:rPr>
          <w:rFonts w:ascii="Calibri" w:hAnsi="Calibri" w:eastAsia="Calibri" w:cs="Calibri"/>
          <w:color w:val="000000"/>
          <w:sz w:val="22"/>
          <w:szCs w:val="22"/>
        </w:rPr>
        <w:t xml:space="preserve">cv. Rajah and </w:t>
      </w:r>
      <w:r>
        <w:rPr>
          <w:rFonts w:ascii="Calibri" w:hAnsi="Calibri" w:eastAsia="Calibri" w:cs="Calibri"/>
          <w:i/>
          <w:iCs/>
          <w:color w:val="000000"/>
          <w:sz w:val="22"/>
          <w:szCs w:val="22"/>
        </w:rPr>
        <w:t xml:space="preserve">Dicentra spectabilis</w:t>
      </w:r>
      <w:r>
        <w:rPr>
          <w:rFonts w:ascii="Calibri" w:hAnsi="Calibri" w:eastAsia="Calibri" w:cs="Calibri"/>
          <w:color w:val="000000"/>
          <w:sz w:val="22"/>
          <w:szCs w:val="22"/>
        </w:rPr>
        <w:t xml:space="preserve"> (Brinkman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It is expected that many more plant species will be hosts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Leptinella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physalifolium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first record near Baexem (NL) in 1992,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recorded on potato at several locations in the southern and south-eastern part of the Netherlands (Karssen, 1996), close to the German and Belgium borders. Within the EPPO region it was detected locally in Belgium, France, Germany, </w:t>
      </w:r>
      <w:r>
        <w:rPr>
          <w:rFonts w:ascii="Calibri" w:hAnsi="Calibri" w:eastAsia="Calibri" w:cs="Calibri"/>
          <w:color w:val="000000"/>
          <w:sz w:val="22"/>
          <w:szCs w:val="22"/>
        </w:rPr>
        <w:t xml:space="preserve">Sweden, Switzerland and the United Kingdom (England). In addition, Topalović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revealed that a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detected in Ireland in 1965 belongs to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never been reported from the natural environment in Europe. Outside Europe it has been reported from Australia, Chile, New Zealand and South Africa. New Zealand is the only known country where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is widely distributed (North and South Island) and detected in cropping and pasture fields (Rohan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strongly suggesting that it could be the place of origin of this pest. </w:t>
      </w:r>
    </w:p>
    <w:p>
      <w:r>
        <w:drawing>
          <wp:inline distT="0" distB="0" distL="0" distR="0">
            <wp:extent cx="6120000" cy="3067200"/>
            <wp:docPr id="59164918" name="name72256a94e6e01a1bb" descr="MELG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FA_distribution_map.jpg"/>
                    <pic:cNvPicPr/>
                  </pic:nvPicPr>
                  <pic:blipFill>
                    <a:blip r:embed="rId98966a94e6e01a1b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Netherlands, Sweden, Switzerland,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(Java)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cycles of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in general, the same with respect to root penetration, gall induction, symptomatology, number of moults, parthenogenetic reproduction and chromosome number: Both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usually reproduce by parthenogenesis. They can have one to three generations per year in the Netherlands and produce several hundreds of eggs per female, deposited in an egg sac. These egg sacs allow the eggs to survive under unfavorable conditions (EFSA, 2019). Initial results by van der Beek (1997) indicated that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had a shorter life cycle than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in a virulence study on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Host races, as described for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not been detected for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so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far. Successful hybridization was not obtained when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were crossed in two different experiments; the F1 was viable, but the F2 second-stage juveniles were not viable and showed morphological distortions (van der Beek &amp; Karssen,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differences in terms of hatching responses to root diffusate and host age between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suggests different survival strategies between these two species (Wesemael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 Karssen are closely related, morphologically and at DNA level. Phylogenetically they appear to be in the same distinct clade within the genus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(Holterman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Elling,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symptoms of heavily infested plants include stunting and yellowing, while below ground galling is typical. The root galls produced by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comparable to those produced by several other root-knot species, i.e. relatively small galls in general without secondary roots emerging from them (these secondary roots are seen in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On potato tubers,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cause numerous small pimple-like raised areas on the surface (in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these swellings are not evident). Some potato cultivars, although heavily infested, may be free from visible external symptoms, while the internal potato tissue is necrotic and brownish, just below the peel (EPPO, 2016a).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Sedentary females are annulated, pearly white and globular to pear-shaped, 400-720 µm long and 250-460 µm wide. The stylet is dorsally curved, 13.9-15.2 µm long, with rounded to ovoid stylet knobs, slightly sloping posteriorly. The non-sedentary males are vermiform, annulated, slightly tapering anteriorly, bluntly rounded posteriorly, 735-1520 µm long and 27-44 µm wide. The stylet is 18.9-20.9 µm long, with large rounded knobs, set off from the shaft. The non-sedentary second-stage juveniles are vermiform, annulated, tapering at both ends, 380-435 µm long, 13.3-16.4 µm wide, with a tail length of 46-56 µm and a hyaline tail part 12.2-15.8 µm in length (Karssen,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is closely related morphologically to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this misleading resemblance was the reason for giving the species its name. The most striking differences for males and females are stylet length (longer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stylet knob shape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prominent and rounded;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small and irregular). The second-stage juveniles differ in mean body length, tail length and hyaline tail length (all longer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With the scanning electron microscope, it can be observed that the male head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an elevated labial disk. Differences exist in the female perineal pattern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has a relatively higher dorsal arch and thicker striae) (EPPO, 2016a; see also Karssen,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be reliably distinguished by morphological observation of females, males, and second-stage juveniles in combination with biochemical (isozyme electrophoresis) or molecular (PCR) methods; see EPPO, 2016. To predict the amount of potato tuber damage caused by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 quantitative DNA-test was developed for soil (Hay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Standards PM 7/119 (EPPO, 2013a) and PM 7/41 </w:t>
      </w:r>
      <w:r>
        <w:rPr>
          <w:rFonts w:ascii="Calibri" w:hAnsi="Calibri" w:eastAsia="Calibri" w:cs="Calibri"/>
          <w:i/>
          <w:iCs/>
          <w:color w:val="000000"/>
          <w:sz w:val="22"/>
          <w:szCs w:val="22"/>
        </w:rPr>
        <w:t xml:space="preserve">Diagnostic protocol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in order to distinguish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molecular methods have been used. Karssen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(1995) discriminated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 </w:t>
      </w:r>
      <w:r>
        <w:rPr>
          <w:rFonts w:ascii="Calibri" w:hAnsi="Calibri" w:eastAsia="Calibri" w:cs="Calibri"/>
          <w:color w:val="000000"/>
          <w:sz w:val="22"/>
          <w:szCs w:val="22"/>
        </w:rPr>
        <w:t xml:space="preserve">females by their esterase (EC 3.1.1.1) and malate dehydrogenase (EC 1.1.1.37) isozyme patterns, using the general method of Esbenshade &amp; Triantaphyllou (1985) for identification of female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by isozyme electrophoresis. Additionally, the isozyme glucose 6-phosphate dehydrogenase (EC 1.1.1.49) was used to differentiate the two species (van der Beek &amp; Karssen, 1997). van der Beek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and Tastet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used mini two-dimensional gel electrophoresis to study the total soluble protein patterns of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and confirmed these species to be distinct biological groups.  An overwhelming number of molecular tests has been developed to identify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soil, root or tubers and to separate it from related species such as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including PCR (Peterson &amp; Vrain, 1996, Peterson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Wishart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PCR RFLP (Zijlstra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Zijlstra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1997) AFLP (v.d. 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Fargette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SCAR (Zijlstra, 2000;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 time TaqMan PCR (Zijlstra &amp; v. Hoof, 2006; de Haan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RAPD (Adam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satDNA (Castagnone-Sereno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Castagnone-Sereno, 2000; Mestrovich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&amp; 2013), LAMP (Zhang &amp; Gleason, 2019), HRMC (Holterman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barcoding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EPPO, 2016b). A serological test was also developed to separate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other root-knot nematodes (Tastet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Only a selection of the above-mentioned tests are recommended for identification (see EPPO, 2016a).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has very limited potential for natural movement; only second-stage juveniles can move in the soil and, at most, only a few tens of centimetres. The most likely pathway for introducing</w:t>
      </w:r>
      <w:r>
        <w:rPr>
          <w:rFonts w:ascii="Calibri" w:hAnsi="Calibri" w:eastAsia="Calibri" w:cs="Calibri"/>
          <w:i/>
          <w:iCs/>
          <w:color w:val="000000"/>
          <w:sz w:val="22"/>
          <w:szCs w:val="22"/>
        </w:rPr>
        <w:t xml:space="preserve"> M. fallax </w:t>
      </w:r>
      <w:r>
        <w:rPr>
          <w:rFonts w:ascii="Calibri" w:hAnsi="Calibri" w:eastAsia="Calibri" w:cs="Calibri"/>
          <w:color w:val="000000"/>
          <w:sz w:val="22"/>
          <w:szCs w:val="22"/>
        </w:rPr>
        <w:t xml:space="preserve">into a new area is through the movement of infested or contaminated planting material. Infested host plants or host products such as bulbs or tubers can easily transport the nematode. The movement of non-host plants for planting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could also result in spread (EPPO, 2013b). Soil as such is also a possible pathway. Infective juveniles of this genus have been known to persist for more than one year in the absence of host plants.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trials,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caused the same symptoms on potato tubers, black salsify and carrots as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external galling and internal necrosis just below the skin (Brinkman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van Riel &amp; Goossens, 1996). The reported natural outbreaks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on potato showed these external symptoms (Karssen, 1996). Goosens (1995) reported infected </w:t>
      </w:r>
      <w:r>
        <w:rPr>
          <w:rFonts w:ascii="Calibri" w:hAnsi="Calibri" w:eastAsia="Calibri" w:cs="Calibri"/>
          <w:i/>
          <w:iCs/>
          <w:color w:val="000000"/>
          <w:sz w:val="22"/>
          <w:szCs w:val="22"/>
        </w:rPr>
        <w:t xml:space="preserve">Asparagus officinalis </w:t>
      </w:r>
      <w:r>
        <w:rPr>
          <w:rFonts w:ascii="Calibri" w:hAnsi="Calibri" w:eastAsia="Calibri" w:cs="Calibri"/>
          <w:color w:val="000000"/>
          <w:sz w:val="22"/>
          <w:szCs w:val="22"/>
        </w:rPr>
        <w:t xml:space="preserve">and several ornamentals with root-knots in an experimental field with an infestation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sometimes occurs in mixed infestations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(Wesemael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mainly induces quality losses caused by cosmetic damage on black salsify, leek, carrot and potato. If the level of infection is high a complete rejection of these crops is possible. So far, this nematode has a limited damaging effect on other known host crops (EFSA,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direct practical experience of the control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Research on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in the Netherlands has focused on host suitability, damage thresholds, effect of fallow, the use of green manure crops and time of sowing. The first results indicate that fallow for one year reduced</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population by more than 95%, but this reduction was not sufficient to ensure that subsequent crops met quality standards. There was less damage in sugar beet and carrot when these crops were sown later in spring. Farmers are advised to be careful when growing green-manure crops on infested fields, because some species are suitable hosts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was the only tested crop with no reproduction of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while maize and cereals were poor hosts (Brommer, 1996). Several green manures were tested, and no reproduction of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found on </w:t>
      </w:r>
      <w:r>
        <w:rPr>
          <w:rFonts w:ascii="Calibri" w:hAnsi="Calibri" w:eastAsia="Calibri" w:cs="Calibri"/>
          <w:i/>
          <w:iCs/>
          <w:color w:val="000000"/>
          <w:sz w:val="22"/>
          <w:szCs w:val="22"/>
        </w:rPr>
        <w:t xml:space="preserve">Eruca Sativa</w:t>
      </w:r>
      <w:r>
        <w:rPr>
          <w:rFonts w:ascii="Calibri" w:hAnsi="Calibri" w:eastAsia="Calibri" w:cs="Calibri"/>
          <w:color w:val="000000"/>
          <w:sz w:val="22"/>
          <w:szCs w:val="22"/>
        </w:rPr>
        <w:t xml:space="preserve"> cv Trio, </w:t>
      </w:r>
      <w:r>
        <w:rPr>
          <w:rFonts w:ascii="Calibri" w:hAnsi="Calibri" w:eastAsia="Calibri" w:cs="Calibri"/>
          <w:i/>
          <w:iCs/>
          <w:color w:val="000000"/>
          <w:sz w:val="22"/>
          <w:szCs w:val="22"/>
        </w:rPr>
        <w:t xml:space="preserve">Tagetus patula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Borago</w:t>
      </w:r>
      <w:r>
        <w:rPr>
          <w:rFonts w:ascii="Calibri" w:hAnsi="Calibri" w:eastAsia="Calibri" w:cs="Calibri"/>
          <w:color w:val="000000"/>
          <w:sz w:val="22"/>
          <w:szCs w:val="22"/>
        </w:rPr>
        <w:t xml:space="preserve"> spp., while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was a poor host.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turned out to be a very good host (Visser &amp; Molendijk, 2015).</w:t>
      </w:r>
    </w:p>
    <w:p>
      <w:pPr>
        <w:widowControl w:val="on"/>
        <w:pBdr/>
        <w:spacing w:before="220" w:after="220" w:line="240" w:lineRule="auto"/>
        <w:ind w:left="0" w:right="0"/>
        <w:jc w:val="both"/>
      </w:pPr>
      <w:r>
        <w:rPr>
          <w:rFonts w:ascii="Calibri" w:hAnsi="Calibri" w:eastAsia="Calibri" w:cs="Calibri"/>
          <w:color w:val="000000"/>
          <w:sz w:val="22"/>
          <w:szCs w:val="22"/>
        </w:rPr>
        <w:t xml:space="preserve">Janssen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(1996) tested several wild tuber-bearing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to determine the level of resistance to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High resistance to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observed in genotypes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bulbocastanum, S. hougasii, S. cardiophyllum, S. fendleri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brachistotrichum. </w:t>
      </w:r>
      <w:r>
        <w:rPr>
          <w:rFonts w:ascii="Calibri" w:hAnsi="Calibri" w:eastAsia="Calibri" w:cs="Calibri"/>
          <w:color w:val="000000"/>
          <w:sz w:val="22"/>
          <w:szCs w:val="22"/>
        </w:rPr>
        <w:t xml:space="preserve">Differential resistance between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observed in S. </w:t>
      </w:r>
      <w:r>
        <w:rPr>
          <w:rFonts w:ascii="Calibri" w:hAnsi="Calibri" w:eastAsia="Calibri" w:cs="Calibri"/>
          <w:i/>
          <w:iCs/>
          <w:color w:val="000000"/>
          <w:sz w:val="22"/>
          <w:szCs w:val="22"/>
        </w:rPr>
        <w:t xml:space="preserve">chacoense, S. stoloniferum </w:t>
      </w:r>
      <w:r>
        <w:rPr>
          <w:rFonts w:ascii="Calibri" w:hAnsi="Calibri" w:eastAsia="Calibri" w:cs="Calibri"/>
          <w:color w:val="000000"/>
          <w:sz w:val="22"/>
          <w:szCs w:val="22"/>
        </w:rPr>
        <w:t xml:space="preserve">and S. </w:t>
      </w:r>
      <w:r>
        <w:rPr>
          <w:rFonts w:ascii="Calibri" w:hAnsi="Calibri" w:eastAsia="Calibri" w:cs="Calibri"/>
          <w:i/>
          <w:iCs/>
          <w:color w:val="000000"/>
          <w:sz w:val="22"/>
          <w:szCs w:val="22"/>
        </w:rPr>
        <w:t xml:space="preserve">gourlayi. </w:t>
      </w:r>
      <w:r>
        <w:rPr>
          <w:rFonts w:ascii="Calibri" w:hAnsi="Calibri" w:eastAsia="Calibri" w:cs="Calibri"/>
          <w:color w:val="000000"/>
          <w:sz w:val="22"/>
          <w:szCs w:val="22"/>
        </w:rPr>
        <w:t xml:space="preserve">Resistance to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was also found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(Kouassi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the resistance gene was studied (Kouassi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By crossing wild tuber 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with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successful introgression of resistance to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potato was obtained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useful resistance against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was found in sea beet (</w:t>
      </w:r>
      <w:r>
        <w:rPr>
          <w:rFonts w:ascii="Calibri" w:hAnsi="Calibri" w:eastAsia="Calibri" w:cs="Calibri"/>
          <w:i/>
          <w:iCs/>
          <w:color w:val="000000"/>
          <w:sz w:val="22"/>
          <w:szCs w:val="22"/>
        </w:rPr>
        <w:t xml:space="preserve">Beta maritima</w:t>
      </w:r>
      <w:r>
        <w:rPr>
          <w:rFonts w:ascii="Calibri" w:hAnsi="Calibri" w:eastAsia="Calibri" w:cs="Calibri"/>
          <w:color w:val="000000"/>
          <w:sz w:val="22"/>
          <w:szCs w:val="22"/>
        </w:rPr>
        <w:t xml:space="preserve">)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used to develop a resistant sugar beet line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(Yu, 2001).</w:t>
      </w:r>
    </w:p>
    <w:p>
      <w:pPr>
        <w:widowControl w:val="on"/>
        <w:pBdr/>
        <w:spacing w:before="220" w:after="220" w:line="240" w:lineRule="auto"/>
        <w:ind w:left="0" w:right="0"/>
        <w:jc w:val="both"/>
      </w:pPr>
      <w:r>
        <w:rPr>
          <w:rFonts w:ascii="Calibri" w:hAnsi="Calibri" w:eastAsia="Calibri" w:cs="Calibri"/>
          <w:color w:val="000000"/>
          <w:sz w:val="22"/>
          <w:szCs w:val="22"/>
        </w:rPr>
        <w:t xml:space="preserve">Wesemael &amp; Moens (2012) tested ten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cultivars and noted that all these cultivars were non-hosts or poor hosts for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An interesting potential control method consists of using the hyper-parasitic bacterium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spp. So far three different species of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are reported to be able to parasitize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penetrans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nishizawae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hartismeri</w:t>
      </w:r>
      <w:r>
        <w:rPr>
          <w:rFonts w:ascii="Calibri" w:hAnsi="Calibri" w:eastAsia="Calibri" w:cs="Calibri"/>
          <w:color w:val="000000"/>
          <w:sz w:val="22"/>
          <w:szCs w:val="22"/>
        </w:rPr>
        <w:t xml:space="preserve"> (Wishart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Bishop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occurs in crops and situations which are similar to those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two species are closely related and difficult to distinguish,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presents a phytosanitary risk similar to that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(EFSA, 2012).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may be able to establish in a large proportion of its host area but may only cause significant damage in certain areas and under certain conditions, causing complete crop rejection (e.g. on potato, carrot and/or black salsify). Soils with a coarse texture such as sandy and sandy-loam soils have a higher probability of being contaminated. Narrow rotation or rotation with alternative hosts facilitates a rapid build-up of population levels and therefore increases the risk for establishment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in a particular field. As observed since 1992,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is expected to spread slowly (EFSA,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machineries, equipment, vehicles, and passengers’ shoes can be cleaned. Publicity would allow to enhance public awareness on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when travelling.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 MAM, Phillips MS &amp; Blok VC (2007) Molecular diagnostic key for identification of single juveniles of seven common and economically important species of root-knot nematode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190-197.</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AH, Gowen SR, Pembroke B &amp; Trotter JR (2007) Morphological and molecular characteristics of a new species of </w:t>
      </w:r>
      <w:r>
        <w:rPr>
          <w:rFonts w:ascii="Calibri" w:hAnsi="Calibri" w:eastAsia="Calibri" w:cs="Calibri"/>
          <w:i/>
          <w:iCs/>
          <w:color w:val="000000"/>
          <w:sz w:val="22"/>
          <w:szCs w:val="22"/>
        </w:rPr>
        <w:t xml:space="preserve">Pasteuria</w:t>
      </w:r>
      <w:r>
        <w:rPr>
          <w:rFonts w:ascii="Calibri" w:hAnsi="Calibri" w:eastAsia="Calibri" w:cs="Calibri"/>
          <w:color w:val="000000"/>
          <w:sz w:val="22"/>
          <w:szCs w:val="22"/>
        </w:rPr>
        <w:t xml:space="preserve"> parasitic on </w:t>
      </w:r>
      <w:r>
        <w:rPr>
          <w:rFonts w:ascii="Calibri" w:hAnsi="Calibri" w:eastAsia="Calibri" w:cs="Calibri"/>
          <w:i/>
          <w:iCs/>
          <w:color w:val="000000"/>
          <w:sz w:val="22"/>
          <w:szCs w:val="22"/>
        </w:rPr>
        <w:t xml:space="preserve">Meloidogyne ardenensis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Invertebrate Pathology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28-33.</w:t>
      </w:r>
    </w:p>
    <w:p>
      <w:pPr>
        <w:widowControl w:val="on"/>
        <w:pBdr/>
        <w:spacing w:before="220" w:after="220" w:line="240" w:lineRule="auto"/>
        <w:ind w:left="0" w:right="0"/>
        <w:jc w:val="left"/>
      </w:pPr>
      <w:r>
        <w:rPr>
          <w:rFonts w:ascii="Calibri" w:hAnsi="Calibri" w:eastAsia="Calibri" w:cs="Calibri"/>
          <w:color w:val="000000"/>
          <w:sz w:val="22"/>
          <w:szCs w:val="22"/>
        </w:rPr>
        <w:t xml:space="preserve">Brinkman H, Goossens JJM &amp; van Riel HR (1996) Comparative host suitability of selected crop plants to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Anzeiger für Schädlingskunde, Planzenschutz, Umweltschutz</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127-129.</w:t>
      </w:r>
    </w:p>
    <w:p>
      <w:pPr>
        <w:widowControl w:val="on"/>
        <w:pBdr/>
        <w:spacing w:before="220" w:after="220" w:line="240" w:lineRule="auto"/>
        <w:ind w:left="0" w:right="0"/>
        <w:jc w:val="left"/>
      </w:pPr>
      <w:r>
        <w:rPr>
          <w:rFonts w:ascii="Calibri" w:hAnsi="Calibri" w:eastAsia="Calibri" w:cs="Calibri"/>
          <w:color w:val="000000"/>
          <w:sz w:val="22"/>
          <w:szCs w:val="22"/>
        </w:rPr>
        <w:t xml:space="preserve">Brommer E (1996) [Control of the root-knot nematode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Publicatie Proefstation voor de Akkerbouw en de Groenteteelt in de Vollegrond</w:t>
      </w:r>
      <w:r>
        <w:rPr>
          <w:rFonts w:ascii="Calibri" w:hAnsi="Calibri" w:eastAsia="Calibri" w:cs="Calibri"/>
          <w:color w:val="000000"/>
          <w:sz w:val="22"/>
          <w:szCs w:val="22"/>
        </w:rPr>
        <w:t xml:space="preserve"> no. 81B, pp. 159-163 (in Dutch). </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Leroy F, Bongiovanni M, Zijlstra C &amp; Abad P (1999) Specific diagnosis of the two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380-384.</w:t>
      </w:r>
    </w:p>
    <w:p>
      <w:pPr>
        <w:widowControl w:val="on"/>
        <w:pBdr/>
        <w:spacing w:before="220" w:after="220" w:line="240" w:lineRule="auto"/>
        <w:ind w:left="0" w:right="0"/>
        <w:jc w:val="left"/>
      </w:pPr>
      <w:r>
        <w:rPr>
          <w:rFonts w:ascii="Calibri" w:hAnsi="Calibri" w:eastAsia="Calibri" w:cs="Calibri"/>
          <w:color w:val="000000"/>
          <w:sz w:val="22"/>
          <w:szCs w:val="22"/>
        </w:rPr>
        <w:t xml:space="preserve">Castagnone-Sereno P (2000) Use of satellite DNA for specific diagnosis of the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581-584.</w:t>
      </w:r>
    </w:p>
    <w:p>
      <w:pPr>
        <w:widowControl w:val="on"/>
        <w:pBdr/>
        <w:spacing w:before="220" w:after="220" w:line="240" w:lineRule="auto"/>
        <w:ind w:left="0" w:right="0"/>
        <w:jc w:val="left"/>
      </w:pPr>
      <w:r>
        <w:rPr>
          <w:rFonts w:ascii="Calibri" w:hAnsi="Calibri" w:eastAsia="Calibri" w:cs="Calibri"/>
          <w:color w:val="000000"/>
          <w:sz w:val="22"/>
          <w:szCs w:val="22"/>
        </w:rPr>
        <w:t xml:space="preserve">de Haan EG, Dekker CCEM, Tameling WIL, den Nijs LJMF, Bovenkamp GW &amp; van den Kooman-Gersmann M (2014) The MeloTuber Test: a real-time TaqManReq. PCR-based assay to detect the rootknot nematodes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166-175.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&amp;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2012</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EN-319</w:t>
      </w:r>
      <w:r>
        <w:rPr>
          <w:rFonts w:ascii="Calibri" w:hAnsi="Calibri" w:eastAsia="Calibri" w:cs="Calibri"/>
          <w:color w:val="000000"/>
          <w:sz w:val="22"/>
          <w:szCs w:val="22"/>
        </w:rPr>
        <w:t xml:space="preserve">.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EN-1572</w:t>
      </w:r>
      <w:r>
        <w:rPr>
          <w:rFonts w:ascii="Calibri" w:hAnsi="Calibri" w:eastAsia="Calibri" w:cs="Calibri"/>
          <w:color w:val="000000"/>
          <w:sz w:val="22"/>
          <w:szCs w:val="22"/>
        </w:rPr>
        <w:t xml:space="preserve">. 20 pp.</w:t>
      </w:r>
    </w:p>
    <w:p>
      <w:pPr>
        <w:widowControl w:val="on"/>
        <w:pBdr/>
        <w:spacing w:before="220" w:after="220" w:line="240" w:lineRule="auto"/>
        <w:ind w:left="0" w:right="0"/>
        <w:jc w:val="left"/>
      </w:pPr>
      <w:r>
        <w:rPr>
          <w:rFonts w:ascii="Calibri" w:hAnsi="Calibri" w:eastAsia="Calibri" w:cs="Calibri"/>
          <w:color w:val="000000"/>
          <w:sz w:val="22"/>
          <w:szCs w:val="22"/>
        </w:rPr>
        <w:t xml:space="preserve">Elling AA (2013) Major emerging problems with minor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1092-1102.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97306a94e6e01c18a"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Available at: </w:t>
      </w:r>
      <w:hyperlink r:id="rId43136a94e6e01c20a"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 Available at: </w:t>
      </w:r>
      <w:hyperlink r:id="rId75716a94e6e01c2c4"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 Available at: </w:t>
      </w:r>
      <w:hyperlink r:id="rId47736a94e6e01c37f"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7/129(1)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Available at: </w:t>
      </w:r>
      <w:hyperlink r:id="rId90336a94e6e01c3f0"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 Available at: </w:t>
      </w:r>
      <w:hyperlink r:id="rId15306a94e6e01c4b1"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77126a94e6e01c534"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Esbenshade PR &amp; Triantaphyllou AC (1985) Use of enzyme phenotypes for identification of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6-20.</w:t>
      </w:r>
    </w:p>
    <w:p>
      <w:pPr>
        <w:widowControl w:val="on"/>
        <w:pBdr/>
        <w:spacing w:before="220" w:after="220" w:line="240" w:lineRule="auto"/>
        <w:ind w:left="0" w:right="0"/>
        <w:jc w:val="left"/>
      </w:pPr>
      <w:r>
        <w:rPr>
          <w:rFonts w:ascii="Calibri" w:hAnsi="Calibri" w:eastAsia="Calibri" w:cs="Calibri"/>
          <w:color w:val="000000"/>
          <w:sz w:val="22"/>
          <w:szCs w:val="22"/>
        </w:rPr>
        <w:t xml:space="preserve">Fargette M, Lollier V, Phillips M, Blok V &amp; Erutos R (2005) AFLP analysis of the genetic diversity of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major agricultural pests. </w:t>
      </w:r>
      <w:r>
        <w:rPr>
          <w:rFonts w:ascii="Calibri" w:hAnsi="Calibri" w:eastAsia="Calibri" w:cs="Calibri"/>
          <w:i/>
          <w:iCs/>
          <w:color w:val="000000"/>
          <w:sz w:val="22"/>
          <w:szCs w:val="22"/>
        </w:rPr>
        <w:t xml:space="preserve">Comtes Rendus Biologies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328</w:t>
      </w:r>
      <w:r>
        <w:rPr>
          <w:rFonts w:ascii="Calibri" w:hAnsi="Calibri" w:eastAsia="Calibri" w:cs="Calibri"/>
          <w:color w:val="000000"/>
          <w:sz w:val="22"/>
          <w:szCs w:val="22"/>
        </w:rPr>
        <w:t xml:space="preserve">, 455-462.</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H, Zijlstra C &amp; McDonald AH (2001) Identification of root-knot nematode species occurring in South Africa using SCAR-PCR technique.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675-680.</w:t>
      </w:r>
    </w:p>
    <w:p>
      <w:pPr>
        <w:widowControl w:val="on"/>
        <w:pBdr/>
        <w:spacing w:before="220" w:after="220" w:line="240" w:lineRule="auto"/>
        <w:ind w:left="0" w:right="0"/>
        <w:jc w:val="left"/>
      </w:pPr>
      <w:r>
        <w:rPr>
          <w:rFonts w:ascii="Calibri" w:hAnsi="Calibri" w:eastAsia="Calibri" w:cs="Calibri"/>
          <w:color w:val="000000"/>
          <w:sz w:val="22"/>
          <w:szCs w:val="22"/>
        </w:rPr>
        <w:t xml:space="preserve">Goossens JJM (1995) Host range test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n.sp. In: Annual Report 1994 Diagnostic Centre, pp. 95-97.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Hay FS, Ophel-Keller K, Hartley DM &amp; Pethybridge SJ (2016) Prediction of potato tuber damage by root-knot nematodes using quantitative DNA assay of soil.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592-600.</w:t>
      </w:r>
    </w:p>
    <w:p>
      <w:pPr>
        <w:widowControl w:val="on"/>
        <w:pBdr/>
        <w:spacing w:before="220" w:after="220" w:line="240" w:lineRule="auto"/>
        <w:ind w:left="0" w:right="0"/>
        <w:jc w:val="left"/>
      </w:pPr>
      <w:r>
        <w:rPr>
          <w:rFonts w:ascii="Calibri" w:hAnsi="Calibri" w:eastAsia="Calibri" w:cs="Calibri"/>
          <w:color w:val="000000"/>
          <w:sz w:val="22"/>
          <w:szCs w:val="22"/>
        </w:rPr>
        <w:t xml:space="preserve">Hodgetts J, Ostoja-Starzewski JC, Prior T, Lawson R, Hall J &amp; Boonham N (2016) DNA barcoding for biosecurity: case studies from the UK plant protection program. </w:t>
      </w:r>
      <w:r>
        <w:rPr>
          <w:rFonts w:ascii="Calibri" w:hAnsi="Calibri" w:eastAsia="Calibri" w:cs="Calibri"/>
          <w:i/>
          <w:iCs/>
          <w:color w:val="000000"/>
          <w:sz w:val="22"/>
          <w:szCs w:val="22"/>
        </w:rPr>
        <w:t xml:space="preserve">Genome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1033-1048. </w:t>
      </w:r>
    </w:p>
    <w:p>
      <w:pPr>
        <w:widowControl w:val="on"/>
        <w:pBdr/>
        <w:spacing w:before="220" w:after="220" w:line="240" w:lineRule="auto"/>
        <w:ind w:left="0" w:right="0"/>
        <w:jc w:val="left"/>
      </w:pPr>
      <w:r>
        <w:rPr>
          <w:rFonts w:ascii="Calibri" w:hAnsi="Calibri" w:eastAsia="Calibri" w:cs="Calibri"/>
          <w:color w:val="000000"/>
          <w:sz w:val="22"/>
          <w:szCs w:val="22"/>
        </w:rPr>
        <w:t xml:space="preserve">Holterman MHM, Karssen G, van den Elsen SJJ, van Megen HHB, Bakker J &amp; Helder H (2009) SSU rDNA-based phylogeny of the Tylenchida sheds light on the evolution of plant feeding &amp; establishes relationships among high impact plant parasitic nematodes.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227-235.</w:t>
      </w:r>
    </w:p>
    <w:p>
      <w:pPr>
        <w:widowControl w:val="on"/>
        <w:pBdr/>
        <w:spacing w:before="220" w:after="220" w:line="240" w:lineRule="auto"/>
        <w:ind w:left="0" w:right="0"/>
        <w:jc w:val="left"/>
      </w:pPr>
      <w:r>
        <w:rPr>
          <w:rFonts w:ascii="Calibri" w:hAnsi="Calibri" w:eastAsia="Calibri" w:cs="Calibri"/>
          <w:color w:val="000000"/>
          <w:sz w:val="22"/>
          <w:szCs w:val="22"/>
        </w:rPr>
        <w:t xml:space="preserve">Holterman MHN, Oggenfuss M, Frey JE &amp; Kiewnick S (2012) Evaluation of high-resolution melting curve analysis as a new tool for root-knot nematode diagnostics. </w:t>
      </w:r>
      <w:r>
        <w:rPr>
          <w:rFonts w:ascii="Calibri" w:hAnsi="Calibri" w:eastAsia="Calibri" w:cs="Calibri"/>
          <w:i/>
          <w:iCs/>
          <w:color w:val="000000"/>
          <w:sz w:val="22"/>
          <w:szCs w:val="22"/>
        </w:rPr>
        <w:t xml:space="preserve">Journal of Phytophatology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59-66.Janssen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hapla </w:t>
      </w:r>
      <w:r>
        <w:rPr>
          <w:rFonts w:ascii="Calibri" w:hAnsi="Calibri" w:eastAsia="Calibri" w:cs="Calibri"/>
          <w:color w:val="000000"/>
          <w:sz w:val="22"/>
          <w:szCs w:val="22"/>
        </w:rPr>
        <w:t xml:space="preserve">in wild tuber-bearing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287-294.</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Janssen R, Van Norel A, Verkerk-Bakker B &amp; Hoogendoorn J (1996) Expression of resistance to the root-knot nematodes,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in wild</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under field conditions.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859-865.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(1997) Intra- and interspecific variation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with regard to resistance in wild tuber bearing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(1994) The use of isozyme phenotypes for the identification of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In: </w:t>
      </w:r>
      <w:r>
        <w:rPr>
          <w:rFonts w:ascii="Calibri" w:hAnsi="Calibri" w:eastAsia="Calibri" w:cs="Calibri"/>
          <w:i/>
          <w:iCs/>
          <w:color w:val="000000"/>
          <w:sz w:val="22"/>
          <w:szCs w:val="22"/>
        </w:rPr>
        <w:t xml:space="preserve">Annual Report 1992 Diagnostic Centre, </w:t>
      </w:r>
      <w:r>
        <w:rPr>
          <w:rFonts w:ascii="Calibri" w:hAnsi="Calibri" w:eastAsia="Calibri" w:cs="Calibri"/>
          <w:color w:val="000000"/>
          <w:sz w:val="22"/>
          <w:szCs w:val="22"/>
        </w:rPr>
        <w:t xml:space="preserve">pp. 85-88.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(1995) Morphological and biochemical differentiation in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populations in the Netherlands.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41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314-315.</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(1996) Description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n.sp. (Nematoda: Heteroderidae), a root-knot nematode fromthe Netherlands.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593-599.</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van Hoenselaar T, Verkerk-Bakker B &amp; Janssen R (1995) Species identification of cyst and root-knot nematodes frompotato by electrophoresis of individual females. </w:t>
      </w:r>
      <w:r>
        <w:rPr>
          <w:rFonts w:ascii="Calibri" w:hAnsi="Calibri" w:eastAsia="Calibri" w:cs="Calibri"/>
          <w:i/>
          <w:iCs/>
          <w:color w:val="000000"/>
          <w:sz w:val="22"/>
          <w:szCs w:val="22"/>
        </w:rPr>
        <w:t xml:space="preserve">Electrophoresis </w:t>
      </w:r>
      <w:r>
        <w:rPr>
          <w:rFonts w:ascii="Calibri" w:hAnsi="Calibri" w:eastAsia="Calibri" w:cs="Calibri"/>
          <w:b/>
          <w:bCs/>
          <w:color w:val="000000"/>
          <w:sz w:val="22"/>
          <w:szCs w:val="22"/>
        </w:rPr>
        <w:t xml:space="preserve">16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105-109.</w:t>
      </w:r>
    </w:p>
    <w:p>
      <w:pPr>
        <w:widowControl w:val="on"/>
        <w:pBdr/>
        <w:spacing w:before="220" w:after="220" w:line="240" w:lineRule="auto"/>
        <w:ind w:left="0" w:right="0"/>
        <w:jc w:val="left"/>
      </w:pPr>
      <w:r>
        <w:rPr>
          <w:rFonts w:ascii="Calibri" w:hAnsi="Calibri" w:eastAsia="Calibri" w:cs="Calibri"/>
          <w:color w:val="000000"/>
          <w:sz w:val="22"/>
          <w:szCs w:val="22"/>
        </w:rPr>
        <w:t xml:space="preserve">Karssen G (2002) </w:t>
      </w:r>
      <w:r>
        <w:rPr>
          <w:rFonts w:ascii="Calibri" w:hAnsi="Calibri" w:eastAsia="Calibri" w:cs="Calibri"/>
          <w:i/>
          <w:iCs/>
          <w:color w:val="000000"/>
          <w:sz w:val="22"/>
          <w:szCs w:val="22"/>
        </w:rPr>
        <w:t xml:space="preserve">The plant-parasitic nematode genus </w:t>
      </w:r>
      <w:r>
        <w:rPr>
          <w:rFonts w:ascii="Calibri" w:hAnsi="Calibri" w:eastAsia="Calibri" w:cs="Calibri"/>
          <w:color w:val="000000"/>
          <w:sz w:val="22"/>
          <w:szCs w:val="22"/>
        </w:rPr>
        <w:t xml:space="preserve">Meloidogyne</w:t>
      </w:r>
      <w:r>
        <w:rPr>
          <w:rFonts w:ascii="Calibri" w:hAnsi="Calibri" w:eastAsia="Calibri" w:cs="Calibri"/>
          <w:i/>
          <w:iCs/>
          <w:color w:val="000000"/>
          <w:sz w:val="22"/>
          <w:szCs w:val="22"/>
        </w:rPr>
        <w:t xml:space="preserve"> Göldi, 1892 in Europe</w:t>
      </w:r>
      <w:r>
        <w:rPr>
          <w:rFonts w:ascii="Calibri" w:hAnsi="Calibri" w:eastAsia="Calibri" w:cs="Calibri"/>
          <w:color w:val="000000"/>
          <w:sz w:val="22"/>
          <w:szCs w:val="22"/>
        </w:rPr>
        <w:t xml:space="preserve">. Brill Academic Publishers, the Netherlands. 157pp.</w:t>
      </w:r>
    </w:p>
    <w:p>
      <w:pPr>
        <w:widowControl w:val="on"/>
        <w:pBdr/>
        <w:spacing w:before="220" w:after="220" w:line="240" w:lineRule="auto"/>
        <w:ind w:left="0" w:right="0"/>
        <w:jc w:val="left"/>
      </w:pPr>
      <w:r>
        <w:rPr>
          <w:rFonts w:ascii="Calibri" w:hAnsi="Calibri" w:eastAsia="Calibri" w:cs="Calibri"/>
          <w:color w:val="000000"/>
          <w:sz w:val="22"/>
          <w:szCs w:val="22"/>
        </w:rPr>
        <w:t xml:space="preserve">Kouassi AB, Kerlan MC, Sobczak M, Bantec JP, Rouaux C, Ellisseche D &amp; Mugniery D (2004) Resistance to the root-knot nematode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389-400.</w:t>
      </w:r>
    </w:p>
    <w:p>
      <w:pPr>
        <w:widowControl w:val="on"/>
        <w:pBdr/>
        <w:spacing w:before="220" w:after="220" w:line="240" w:lineRule="auto"/>
        <w:ind w:left="0" w:right="0"/>
        <w:jc w:val="left"/>
      </w:pPr>
      <w:r>
        <w:rPr>
          <w:rFonts w:ascii="Calibri" w:hAnsi="Calibri" w:eastAsia="Calibri" w:cs="Calibri"/>
          <w:color w:val="000000"/>
          <w:sz w:val="22"/>
          <w:szCs w:val="22"/>
        </w:rPr>
        <w:t xml:space="preserve">Kouassi AB, Kerlan MC, Caromel B, Dantec JP, Fouville D, Manzanares-Dauleux M, Ellisseche D &amp; Mugniery D (2006) A major gene mapped on chromosome XII is the main factor of a quantitatively inherited resistance to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Solanum sparsipilum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Theoritical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699-707.</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Mestrovic N, Phlol M &amp; Castagnone-Serone P (2009) Relevance of satellite DNA genomic distribution in phylogenetic analysis: a case study with root-knot nematodes of the genus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204-208.</w:t>
      </w:r>
    </w:p>
    <w:p>
      <w:pPr>
        <w:widowControl w:val="on"/>
        <w:pBdr/>
        <w:spacing w:before="220" w:after="220" w:line="240" w:lineRule="auto"/>
        <w:ind w:left="0" w:right="0"/>
        <w:jc w:val="left"/>
      </w:pPr>
      <w:r>
        <w:rPr>
          <w:rFonts w:ascii="Calibri" w:hAnsi="Calibri" w:eastAsia="Calibri" w:cs="Calibri"/>
          <w:color w:val="000000"/>
          <w:sz w:val="22"/>
          <w:szCs w:val="22"/>
        </w:rPr>
        <w:t xml:space="preserve">Mestrovic N, Pavlek M, Car A, Castagnone-Serone P, Abad, P &amp; Plohl M (2013) Conserved DNA motifs, including CENP-B box-like, are possible promotors of satellite DNA array rearrangesments in nematodes.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e67328.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DJ &amp; Vrain TC (1996) Rapid identification of </w:t>
      </w:r>
      <w:r>
        <w:rPr>
          <w:rFonts w:ascii="Calibri" w:hAnsi="Calibri" w:eastAsia="Calibri" w:cs="Calibri"/>
          <w:i/>
          <w:iCs/>
          <w:color w:val="000000"/>
          <w:sz w:val="22"/>
          <w:szCs w:val="22"/>
        </w:rPr>
        <w:t xml:space="preserve">Meloidogyne chitwoodi, M. hapla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using PCR primers to amplify their ribosomal intergenic spacer.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601-605.</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DJ, Zijlstra C, Wishart J, Blok V &amp; Vrain T (1997) Specific probes efficiently distinguish root-knot nematode species using signature in the ribosomal intergenic spacer.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Rohan TC, Aalders LT, Bell NL &amp; Shah FA (2016) First report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hosted by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(white clover): implications for pasture and crop rotations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Tastet, C, Val F, Lesage M, Renault L, Marche L, Bossis, M &amp; Mugniery D (2001) Application of a putative fatty-acid binding protein to discriminate serologically the two European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821-832.</w:t>
      </w:r>
    </w:p>
    <w:p>
      <w:pPr>
        <w:widowControl w:val="on"/>
        <w:pBdr/>
        <w:spacing w:before="220" w:after="220" w:line="240" w:lineRule="auto"/>
        <w:ind w:left="0" w:right="0"/>
        <w:jc w:val="left"/>
      </w:pPr>
      <w:r>
        <w:rPr>
          <w:rFonts w:ascii="Calibri" w:hAnsi="Calibri" w:eastAsia="Calibri" w:cs="Calibri"/>
          <w:color w:val="000000"/>
          <w:sz w:val="22"/>
          <w:szCs w:val="22"/>
        </w:rPr>
        <w:t xml:space="preserve">Topalović O, Moore JF, Janssen T, Bert W &amp; Karssen G (2017) An early record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from Ireland.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643</w:t>
      </w:r>
      <w:r>
        <w:rPr>
          <w:rFonts w:ascii="Calibri" w:hAnsi="Calibri" w:eastAsia="Calibri" w:cs="Calibri"/>
          <w:color w:val="000000"/>
          <w:sz w:val="22"/>
          <w:szCs w:val="22"/>
        </w:rPr>
        <w:t xml:space="preserve">, 33–52. </w:t>
      </w:r>
      <w:hyperlink r:id="rId20286a94e6e01d1a0" w:history="1">
        <w:r>
          <w:rPr>
            <w:rFonts w:ascii="Calibri" w:hAnsi="Calibri" w:eastAsia="Calibri" w:cs="Calibri"/>
            <w:color w:val="0000CC"/>
            <w:sz w:val="22"/>
            <w:szCs w:val="22"/>
            <w:u w:val="single"/>
          </w:rPr>
          <w:t xml:space="preserve">https://doi.org/10.3897/zookeys.643.11266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(1997) Isolate-by-cultivar interaction in </w:t>
      </w:r>
      <w:r>
        <w:rPr>
          <w:rFonts w:ascii="Calibri" w:hAnsi="Calibri" w:eastAsia="Calibri" w:cs="Calibri"/>
          <w:i/>
          <w:iCs/>
          <w:color w:val="000000"/>
          <w:sz w:val="22"/>
          <w:szCs w:val="22"/>
        </w:rPr>
        <w:t xml:space="preserve">M.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on potato. In: </w:t>
      </w:r>
      <w:r>
        <w:rPr>
          <w:rFonts w:ascii="Calibri" w:hAnsi="Calibri" w:eastAsia="Calibri" w:cs="Calibri"/>
          <w:i/>
          <w:iCs/>
          <w:color w:val="000000"/>
          <w:sz w:val="22"/>
          <w:szCs w:val="22"/>
        </w:rPr>
        <w:t xml:space="preserve">Interaction between root-knot nematodes and Solanum spp. variation in pathogenicity, cytology, proteins and DNA. </w:t>
      </w:r>
      <w:r>
        <w:rPr>
          <w:rFonts w:ascii="Calibri" w:hAnsi="Calibri" w:eastAsia="Calibri" w:cs="Calibri"/>
          <w:color w:val="000000"/>
          <w:sz w:val="22"/>
          <w:szCs w:val="22"/>
        </w:rPr>
        <w:t xml:space="preserve">pp. 41-53. Thesis, Wageningen Agricultural University,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&amp; Karssen G (1997) Interspecific hybridization of meiotic parthenogenetic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M. fallax. Phytopathology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1061-1066.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Folkertsma R,  Poleij LM, van Koert PHG &amp; Bakker J (1997) Molecular evidence that </w:t>
      </w:r>
      <w:r>
        <w:rPr>
          <w:rFonts w:ascii="Calibri" w:hAnsi="Calibri" w:eastAsia="Calibri" w:cs="Calibri"/>
          <w:i/>
          <w:iCs/>
          <w:color w:val="000000"/>
          <w:sz w:val="22"/>
          <w:szCs w:val="22"/>
        </w:rPr>
        <w:t xml:space="preserve">Meloidogyne hapla, 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 </w:t>
      </w:r>
      <w:r>
        <w:rPr>
          <w:rFonts w:ascii="Calibri" w:hAnsi="Calibri" w:eastAsia="Calibri" w:cs="Calibri"/>
          <w:color w:val="000000"/>
          <w:sz w:val="22"/>
          <w:szCs w:val="22"/>
        </w:rPr>
        <w:t xml:space="preserve">are distinct biological entities.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513-520.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Beek JG, Folkertsma R, Zijlstra C, van Koert PHG, Poleij LM &amp; Bakker J (1998) Genetic variation among parthenogenetic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revealed by AFLPs and 2D-protein electrophoresis contrasted to morphology. </w:t>
      </w:r>
      <w:r>
        <w:rPr>
          <w:rFonts w:ascii="Calibri" w:hAnsi="Calibri" w:eastAsia="Calibri" w:cs="Calibri"/>
          <w:i/>
          <w:iCs/>
          <w:color w:val="000000"/>
          <w:sz w:val="22"/>
          <w:szCs w:val="22"/>
        </w:rPr>
        <w:t xml:space="preserve">Fundamental and Applied Nematology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401-411.</w:t>
      </w:r>
    </w:p>
    <w:p>
      <w:pPr>
        <w:widowControl w:val="on"/>
        <w:pBdr/>
        <w:spacing w:before="220" w:after="220" w:line="240" w:lineRule="auto"/>
        <w:ind w:left="0" w:right="0"/>
        <w:jc w:val="left"/>
      </w:pPr>
      <w:r>
        <w:rPr>
          <w:rFonts w:ascii="Calibri" w:hAnsi="Calibri" w:eastAsia="Calibri" w:cs="Calibri"/>
          <w:color w:val="000000"/>
          <w:sz w:val="22"/>
          <w:szCs w:val="22"/>
        </w:rPr>
        <w:t xml:space="preserve">van Meggelen JC, Karssen G, Janssen GJW, Verkerk B &amp; Janssen R (1994) A new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Fundamental and appliedNematology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,93.</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&amp; Goossens JJM (1996) Response of </w:t>
      </w:r>
      <w:r>
        <w:rPr>
          <w:rFonts w:ascii="Calibri" w:hAnsi="Calibri" w:eastAsia="Calibri" w:cs="Calibri"/>
          <w:i/>
          <w:iCs/>
          <w:color w:val="000000"/>
          <w:sz w:val="22"/>
          <w:szCs w:val="22"/>
        </w:rPr>
        <w:t xml:space="preserve">Meloidogyne fallax </w:t>
      </w:r>
      <w:r>
        <w:rPr>
          <w:rFonts w:ascii="Calibri" w:hAnsi="Calibri" w:eastAsia="Calibri" w:cs="Calibri"/>
          <w:color w:val="000000"/>
          <w:sz w:val="22"/>
          <w:szCs w:val="22"/>
        </w:rPr>
        <w:t xml:space="preserve">to differential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Annual Report 1995 Diagnostic Centre,</w:t>
      </w:r>
      <w:r>
        <w:rPr>
          <w:rFonts w:ascii="Calibri" w:hAnsi="Calibri" w:eastAsia="Calibri" w:cs="Calibri"/>
          <w:color w:val="000000"/>
          <w:sz w:val="22"/>
          <w:szCs w:val="22"/>
        </w:rPr>
        <w:t xml:space="preserve"> pp. 100-101.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Visser JHM &amp; Molendijk LPG (2015) [Host suitability new green manures for plant-parasitic nematodes]. </w:t>
      </w:r>
      <w:r>
        <w:rPr>
          <w:rFonts w:ascii="Calibri" w:hAnsi="Calibri" w:eastAsia="Calibri" w:cs="Calibri"/>
          <w:i/>
          <w:iCs/>
          <w:color w:val="000000"/>
          <w:sz w:val="22"/>
          <w:szCs w:val="22"/>
        </w:rPr>
        <w:t xml:space="preserve">Publicatie WUR, Praktijkonderzoek Plant &amp; Omgeving </w:t>
      </w:r>
      <w:r>
        <w:rPr>
          <w:rFonts w:ascii="Calibri" w:hAnsi="Calibri" w:eastAsia="Calibri" w:cs="Calibri"/>
          <w:color w:val="000000"/>
          <w:sz w:val="22"/>
          <w:szCs w:val="22"/>
        </w:rPr>
        <w:t xml:space="preserve">no. 633, 29pp.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Wesemael WML, Perry RN &amp; Moens M (2006) The influence of the root diffusate and host age on hatching of the root-knot nematodes.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895-902.</w:t>
      </w:r>
    </w:p>
    <w:p>
      <w:pPr>
        <w:widowControl w:val="on"/>
        <w:pBdr/>
        <w:spacing w:before="220" w:after="220" w:line="240" w:lineRule="auto"/>
        <w:ind w:left="0" w:right="0"/>
        <w:jc w:val="left"/>
      </w:pPr>
      <w:r>
        <w:rPr>
          <w:rFonts w:ascii="Calibri" w:hAnsi="Calibri" w:eastAsia="Calibri" w:cs="Calibri"/>
          <w:color w:val="000000"/>
          <w:sz w:val="22"/>
          <w:szCs w:val="22"/>
        </w:rPr>
        <w:t xml:space="preserve">Wesemael WML &amp; Moens M (2012) Screening of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for resistance against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702-708. </w:t>
      </w:r>
    </w:p>
    <w:p>
      <w:pPr>
        <w:widowControl w:val="on"/>
        <w:pBdr/>
        <w:spacing w:before="220" w:after="220" w:line="240" w:lineRule="auto"/>
        <w:ind w:left="0" w:right="0"/>
        <w:jc w:val="left"/>
      </w:pPr>
      <w:r>
        <w:rPr>
          <w:rFonts w:ascii="Calibri" w:hAnsi="Calibri" w:eastAsia="Calibri" w:cs="Calibri"/>
          <w:color w:val="000000"/>
          <w:sz w:val="22"/>
          <w:szCs w:val="22"/>
        </w:rPr>
        <w:t xml:space="preserve">Wishart J, Phillips MS &amp; Blok VC (2002) Ribosomal intergenic spacer: a polymerase chain reaction diagnostic for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Phytophatology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884-892.</w:t>
      </w:r>
    </w:p>
    <w:p>
      <w:pPr>
        <w:widowControl w:val="on"/>
        <w:pBdr/>
        <w:spacing w:before="220" w:after="220" w:line="240" w:lineRule="auto"/>
        <w:ind w:left="0" w:right="0"/>
        <w:jc w:val="left"/>
      </w:pPr>
      <w:r>
        <w:rPr>
          <w:rFonts w:ascii="Calibri" w:hAnsi="Calibri" w:eastAsia="Calibri" w:cs="Calibri"/>
          <w:color w:val="000000"/>
          <w:sz w:val="22"/>
          <w:szCs w:val="22"/>
        </w:rPr>
        <w:t xml:space="preserve">Wishart J, Blok VC, Phillips MS &amp; Davies KG (2004) </w:t>
      </w:r>
      <w:r>
        <w:rPr>
          <w:rFonts w:ascii="Calibri" w:hAnsi="Calibri" w:eastAsia="Calibri" w:cs="Calibri"/>
          <w:i/>
          <w:iCs/>
          <w:color w:val="000000"/>
          <w:sz w:val="22"/>
          <w:szCs w:val="22"/>
        </w:rPr>
        <w:t xml:space="preserve">Pasteuria penetrans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nishizawae</w:t>
      </w:r>
      <w:r>
        <w:rPr>
          <w:rFonts w:ascii="Calibri" w:hAnsi="Calibri" w:eastAsia="Calibri" w:cs="Calibri"/>
          <w:color w:val="000000"/>
          <w:sz w:val="22"/>
          <w:szCs w:val="22"/>
        </w:rPr>
        <w:t xml:space="preserve"> attachment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507-510.</w:t>
      </w:r>
    </w:p>
    <w:p>
      <w:pPr>
        <w:widowControl w:val="on"/>
        <w:pBdr/>
        <w:spacing w:before="220" w:after="220" w:line="240" w:lineRule="auto"/>
        <w:ind w:left="0" w:right="0"/>
        <w:jc w:val="left"/>
      </w:pPr>
      <w:r>
        <w:rPr>
          <w:rFonts w:ascii="Calibri" w:hAnsi="Calibri" w:eastAsia="Calibri" w:cs="Calibri"/>
          <w:color w:val="000000"/>
          <w:sz w:val="22"/>
          <w:szCs w:val="22"/>
        </w:rPr>
        <w:t xml:space="preserve">Yu M, Heijbroek W &amp; Pakish LM (1999) The sea beet source of resistance to multiple species of root-knot nematode.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151-155.</w:t>
      </w:r>
    </w:p>
    <w:p>
      <w:pPr>
        <w:widowControl w:val="on"/>
        <w:pBdr/>
        <w:spacing w:before="220" w:after="220" w:line="240" w:lineRule="auto"/>
        <w:ind w:left="0" w:right="0"/>
        <w:jc w:val="left"/>
      </w:pPr>
      <w:r>
        <w:rPr>
          <w:rFonts w:ascii="Calibri" w:hAnsi="Calibri" w:eastAsia="Calibri" w:cs="Calibri"/>
          <w:color w:val="000000"/>
          <w:sz w:val="22"/>
          <w:szCs w:val="22"/>
        </w:rPr>
        <w:t xml:space="preserve">Yu MH (2001) Registration of M6-1 root-knot nematode resistant sugarbeet germplasm.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278-279.</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(2019) Loop-mediated isothermal amplification for the diagnostic detection of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12-18.</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(1997) A fast PCR assay to identify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to sensitively differentiate them from each other and from</w:t>
      </w:r>
      <w:r>
        <w:rPr>
          <w:rFonts w:ascii="Calibri" w:hAnsi="Calibri" w:eastAsia="Calibri" w:cs="Calibri"/>
          <w:i/>
          <w:iCs/>
          <w:color w:val="000000"/>
          <w:sz w:val="22"/>
          <w:szCs w:val="22"/>
        </w:rPr>
        <w:t xml:space="preserve"> 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incognita</w:t>
      </w:r>
      <w:r>
        <w:rPr>
          <w:rFonts w:ascii="Calibri" w:hAnsi="Calibri" w:eastAsia="Calibri" w:cs="Calibri"/>
          <w:color w:val="000000"/>
          <w:sz w:val="22"/>
          <w:szCs w:val="22"/>
        </w:rPr>
        <w:t xml:space="preserve"> in mixtures.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505-511.</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Lever AEM, Uenk BJ &amp; van Silfhout CH (1995) Differences between ITS regions of isolates of root-knot nematodes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1231-1237.</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(2000) Reliable identification of quarantine root-knot nematodes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by PCR-based techniques.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Zijlstra C &amp; van Hoof RA (2006) A multiplex real-time polymerase chain reaction (TaqMan) assay for the simultaneous detection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1255-1262.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Karssen G.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EPPO datasheets on pests recommended for regulation. Available online. </w:t>
      </w:r>
      <w:hyperlink r:id="rId28736a94e6e01dc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1999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493-496. </w:t>
      </w:r>
      <w:hyperlink r:id="rId24246a94e6e01dd48" w:history="1">
        <w:r>
          <w:rPr>
            <w:rFonts w:ascii="Calibri" w:hAnsi="Calibri" w:eastAsia="Calibri" w:cs="Calibri"/>
            <w:color w:val="0000CC"/>
            <w:sz w:val="22"/>
            <w:szCs w:val="22"/>
            <w:u w:val="single"/>
          </w:rPr>
          <w:t xml:space="preserve">https://doi.org/10.1111/j.1365-2338.1999.tb01425.x</w:t>
        </w:r>
      </w:hyperlink>
      <w:r>
        <w:rPr>
          <w:rFonts w:ascii="Calibri" w:hAnsi="Calibri" w:eastAsia="Calibri" w:cs="Calibri"/>
          <w:color w:val="000000"/>
          <w:sz w:val="22"/>
          <w:szCs w:val="22"/>
        </w:rPr>
        <w:t xml:space="preserve"> </w:t>
      </w:r>
    </w:p>
    <w:p>
      <w:r>
        <w:drawing>
          <wp:inline distT="0" distB="0" distL="0" distR="0">
            <wp:extent cx="1800000" cy="604800"/>
            <wp:docPr id="94916502" name="name81676a94e6e01dd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366a94e6e01dd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387777">
    <w:multiLevelType w:val="hybridMultilevel"/>
    <w:lvl w:ilvl="0" w:tplc="73616624">
      <w:start w:val="1"/>
      <w:numFmt w:val="decimal"/>
      <w:lvlText w:val="%1."/>
      <w:lvlJc w:val="left"/>
      <w:pPr>
        <w:ind w:left="720" w:hanging="360"/>
      </w:pPr>
    </w:lvl>
    <w:lvl w:ilvl="1" w:tplc="73616624" w:tentative="1">
      <w:start w:val="1"/>
      <w:numFmt w:val="lowerLetter"/>
      <w:lvlText w:val="%2."/>
      <w:lvlJc w:val="left"/>
      <w:pPr>
        <w:ind w:left="1440" w:hanging="360"/>
      </w:pPr>
    </w:lvl>
    <w:lvl w:ilvl="2" w:tplc="73616624" w:tentative="1">
      <w:start w:val="1"/>
      <w:numFmt w:val="lowerRoman"/>
      <w:lvlText w:val="%3."/>
      <w:lvlJc w:val="right"/>
      <w:pPr>
        <w:ind w:left="2160" w:hanging="180"/>
      </w:pPr>
    </w:lvl>
    <w:lvl w:ilvl="3" w:tplc="73616624" w:tentative="1">
      <w:start w:val="1"/>
      <w:numFmt w:val="decimal"/>
      <w:lvlText w:val="%4."/>
      <w:lvlJc w:val="left"/>
      <w:pPr>
        <w:ind w:left="2880" w:hanging="360"/>
      </w:pPr>
    </w:lvl>
    <w:lvl w:ilvl="4" w:tplc="73616624" w:tentative="1">
      <w:start w:val="1"/>
      <w:numFmt w:val="lowerLetter"/>
      <w:lvlText w:val="%5."/>
      <w:lvlJc w:val="left"/>
      <w:pPr>
        <w:ind w:left="3600" w:hanging="360"/>
      </w:pPr>
    </w:lvl>
    <w:lvl w:ilvl="5" w:tplc="73616624" w:tentative="1">
      <w:start w:val="1"/>
      <w:numFmt w:val="lowerRoman"/>
      <w:lvlText w:val="%6."/>
      <w:lvlJc w:val="right"/>
      <w:pPr>
        <w:ind w:left="4320" w:hanging="180"/>
      </w:pPr>
    </w:lvl>
    <w:lvl w:ilvl="6" w:tplc="73616624" w:tentative="1">
      <w:start w:val="1"/>
      <w:numFmt w:val="decimal"/>
      <w:lvlText w:val="%7."/>
      <w:lvlJc w:val="left"/>
      <w:pPr>
        <w:ind w:left="5040" w:hanging="360"/>
      </w:pPr>
    </w:lvl>
    <w:lvl w:ilvl="7" w:tplc="73616624" w:tentative="1">
      <w:start w:val="1"/>
      <w:numFmt w:val="lowerLetter"/>
      <w:lvlText w:val="%8."/>
      <w:lvlJc w:val="left"/>
      <w:pPr>
        <w:ind w:left="5760" w:hanging="360"/>
      </w:pPr>
    </w:lvl>
    <w:lvl w:ilvl="8" w:tplc="73616624" w:tentative="1">
      <w:start w:val="1"/>
      <w:numFmt w:val="lowerRoman"/>
      <w:lvlText w:val="%9."/>
      <w:lvlJc w:val="right"/>
      <w:pPr>
        <w:ind w:left="6480" w:hanging="180"/>
      </w:pPr>
    </w:lvl>
  </w:abstractNum>
  <w:abstractNum w:abstractNumId="60387776">
    <w:multiLevelType w:val="hybridMultilevel"/>
    <w:lvl w:ilvl="0" w:tplc="31524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387776">
    <w:abstractNumId w:val="60387776"/>
  </w:num>
  <w:num w:numId="60387777">
    <w:abstractNumId w:val="603877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6688817" Type="http://schemas.microsoft.com/office/2011/relationships/commentsExtended" Target="commentsExtended.xml"/><Relationship Id="rId933459406" Type="http://schemas.microsoft.com/office/2011/relationships/people" Target="people.xml"/><Relationship Id="rId43856a94e6e017f5b" Type="http://schemas.openxmlformats.org/officeDocument/2006/relationships/hyperlink" Target="https://gd.eppo.int/taxon/MELGFA/" TargetMode="External"/><Relationship Id="rId11076a94e6e017fc4" Type="http://schemas.openxmlformats.org/officeDocument/2006/relationships/hyperlink" Target="https://gd.eppo.int/taxon/MELGFA/categorization" TargetMode="External"/><Relationship Id="rId26736a94e6e018847" Type="http://schemas.openxmlformats.org/officeDocument/2006/relationships/hyperlink" Target="https://gd.eppo.int/taxon/MELGFA/photos" TargetMode="External"/><Relationship Id="rId97306a94e6e01c18a" Type="http://schemas.openxmlformats.org/officeDocument/2006/relationships/hyperlink" Target="https://gd.eppo.int/standards/PM3/" TargetMode="External"/><Relationship Id="rId43136a94e6e01c20a" Type="http://schemas.openxmlformats.org/officeDocument/2006/relationships/hyperlink" Target="https://gd.eppo.int/standards/PM7/" TargetMode="External"/><Relationship Id="rId75716a94e6e01c2c4" Type="http://schemas.openxmlformats.org/officeDocument/2006/relationships/hyperlink" Target="https://gd.eppo.int/standards/PM9/" TargetMode="External"/><Relationship Id="rId47736a94e6e01c37f" Type="http://schemas.openxmlformats.org/officeDocument/2006/relationships/hyperlink" Target="https://gd.eppo.int/standards/PM7/" TargetMode="External"/><Relationship Id="rId90336a94e6e01c3f0" Type="http://schemas.openxmlformats.org/officeDocument/2006/relationships/hyperlink" Target="https://gd.eppo.int/standards/PM7/" TargetMode="External"/><Relationship Id="rId15306a94e6e01c4b1" Type="http://schemas.openxmlformats.org/officeDocument/2006/relationships/hyperlink" Target="https://gd.eppo.int/standards/PM3/" TargetMode="External"/><Relationship Id="rId77126a94e6e01c534" Type="http://schemas.openxmlformats.org/officeDocument/2006/relationships/hyperlink" Target="https://gd.eppo.int/standards/PM3/" TargetMode="External"/><Relationship Id="rId20286a94e6e01d1a0" Type="http://schemas.openxmlformats.org/officeDocument/2006/relationships/hyperlink" Target="https://doi.org/10.3897/zookeys.643.11266" TargetMode="External"/><Relationship Id="rId28736a94e6e01dc7e" Type="http://schemas.openxmlformats.org/officeDocument/2006/relationships/hyperlink" Target="https://gd.eppo.int" TargetMode="External"/><Relationship Id="rId24246a94e6e01dd48" Type="http://schemas.openxmlformats.org/officeDocument/2006/relationships/hyperlink" Target="https://doi.org/10.1111/j.1365-2338.1999.tb01425.x" TargetMode="External"/><Relationship Id="rId56306a94e6e018729" Type="http://schemas.openxmlformats.org/officeDocument/2006/relationships/image" Target="media/imgrId56306a94e6e018729.jpg"/><Relationship Id="rId98966a94e6e01a1b9" Type="http://schemas.openxmlformats.org/officeDocument/2006/relationships/image" Target="media/imgrId98966a94e6e01a1b9.jpg"/><Relationship Id="rId15366a94e6e01ddde" Type="http://schemas.openxmlformats.org/officeDocument/2006/relationships/image" Target="media/imgrId15366a94e6e01dd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