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chitwoodi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chitwoodi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O'Bannon, Santo &amp; Finley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Columbia root-knot nematode (US)</w:t>
            </w:r>
            <w:hyperlink r:id="rId10536983a8640539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14076983a864053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MELGCH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843706" name="name85256983a86405a6d" descr="17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3.jpg"/>
                          <pic:cNvPicPr/>
                        </pic:nvPicPr>
                        <pic:blipFill>
                          <a:blip r:embed="rId67276983a86405a6b" cstate="print"/>
                          <a:stretch>
                            <a:fillRect/>
                          </a:stretch>
                        </pic:blipFill>
                        <pic:spPr>
                          <a:xfrm>
                            <a:off x="0" y="0"/>
                            <a:ext cx="2160000" cy="1281600"/>
                          </a:xfrm>
                          <a:prstGeom prst="rect">
                            <a:avLst/>
                          </a:prstGeom>
                          <a:ln w="0">
                            <a:noFill/>
                          </a:ln>
                        </pic:spPr>
                      </pic:pic>
                    </a:graphicData>
                  </a:graphic>
                </wp:inline>
              </w:drawing>
            </w:r>
            <w:hyperlink r:id="rId62086983a86405b8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 host range among monocotyledonous and dicotyledonous crop plants, including weeds and economically important crops.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are good hosts, while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oats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var. saccharifera),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various Poaceae (grasses and weeds) will only maintain the nematode (Santo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Kutywayo &amp; Been, 2006; EFSA, 2019). Moderate to poor hosts occur in the Apiaceae, Brassicaceae, Cucurbitaceae, Fabaceae, Lamiaceae, Liliaceae and Vitaceae. According to Best4Soil database, marigold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linseed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and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are not host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(Best4Soil, 2020), also marigold and chicory are reported to allow some reproduction (Brinkmann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Besides, several fodder radish cultivars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oleifer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are available with very good 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Two races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been described, distinguished by slight differences in host range. Race 1 reproduces on carrot but not on lucerne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whereas race 2 reproduces on lucerne but not on carrot (Santo &amp; Pinkerton, 1985;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Race 1 occurs worldwide, while race 2 is only reported from the Pacific Northwest in the USA and Mexico (Santo &amp; Ponti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1985; Cuevas &amp; Sosa-Moss, 1990). Ferris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when investigating suitable crops for rotation with potato in the presence of race 1 in USA, recommend the use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lucerne, oilseed rape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oleifera</w:t>
      </w:r>
      <w:r>
        <w:rPr>
          <w:rFonts w:ascii="Calibri" w:hAnsi="Calibri" w:eastAsia="Calibri" w:cs="Calibri"/>
          <w:color w:val="000000"/>
          <w:sz w:val="22"/>
          <w:szCs w:val="22"/>
        </w:rPr>
        <w:t xml:space="preserve">), fodder radish and safflower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Both races do not reproduce on </w:t>
      </w:r>
      <w:r>
        <w:rPr>
          <w:rFonts w:ascii="Calibri" w:hAnsi="Calibri" w:eastAsia="Calibri" w:cs="Calibri"/>
          <w:i/>
          <w:iCs/>
          <w:color w:val="000000"/>
          <w:sz w:val="22"/>
          <w:szCs w:val="22"/>
        </w:rPr>
        <w:t xml:space="preserve">Solanum bulbocastanum</w:t>
      </w:r>
      <w:r>
        <w:rPr>
          <w:rFonts w:ascii="Calibri" w:hAnsi="Calibri" w:eastAsia="Calibri" w:cs="Calibri"/>
          <w:color w:val="000000"/>
          <w:sz w:val="22"/>
          <w:szCs w:val="22"/>
        </w:rPr>
        <w:t xml:space="preserve">, while this wild potato species is used as source for resistance in breeding programs. However, populations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race 1 have been found to overcome the main resistance gene </w:t>
      </w:r>
      <w:r>
        <w:rPr>
          <w:rFonts w:ascii="Calibri" w:hAnsi="Calibri" w:eastAsia="Calibri" w:cs="Calibri"/>
          <w:i/>
          <w:iCs/>
          <w:color w:val="000000"/>
          <w:sz w:val="22"/>
          <w:szCs w:val="22"/>
        </w:rPr>
        <w:t xml:space="preserve">Rmc1(blb)</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host crops recorded to be attacked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carrots, cereals, common bean (</w:t>
      </w:r>
      <w:r>
        <w:rPr>
          <w:rFonts w:ascii="Calibri" w:hAnsi="Calibri" w:eastAsia="Calibri" w:cs="Calibri"/>
          <w:i/>
          <w:iCs/>
          <w:color w:val="000000"/>
          <w:sz w:val="22"/>
          <w:szCs w:val="22"/>
        </w:rPr>
        <w:t xml:space="preserve">Phaseolus vulgari</w:t>
      </w:r>
      <w:r>
        <w:rPr>
          <w:rFonts w:ascii="Calibri" w:hAnsi="Calibri" w:eastAsia="Calibri" w:cs="Calibri"/>
          <w:color w:val="000000"/>
          <w:sz w:val="22"/>
          <w:szCs w:val="22"/>
        </w:rPr>
        <w:t xml:space="preserve">s), maize,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sugar beet and tomatoes (EPPO, 1991). It is expected that many more plant species are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cicer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 var. foliosum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Dasiphora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orcuttiana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xiphium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xylosteum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scutellata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capillare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subsp. oleiferus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originally described in 1980 from potato collected from Quincy, Washington, USA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At that time, the species was known to occur in the Pacific Northwest of the USA, in certain areas of Idaho, Washington and Oregon. Its common name derives from the Columbia River Basin of South Central, Washington and North Central Oregon where it was first reported.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first detected in the EPPO region in the 1980s, in the Netherlands, but a review of old illustrations and old specimens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suggests that it may have occurred earlier (in the 1930s) and may have been present throughout the intervening period (EPPO, 1991). It is possible that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wider distribution in Europe, than is currently known, remaining undetected, but this is now actively under investigation.</w:t>
      </w:r>
    </w:p>
    <w:p>
      <w:r>
        <w:drawing>
          <wp:inline distT="0" distB="0" distL="0" distR="0">
            <wp:extent cx="6120000" cy="3067200"/>
            <wp:docPr id="91578235" name="name49516983a864080bf" descr="MELGC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CH_distribution_map.jpg"/>
                    <pic:cNvPicPr/>
                  </pic:nvPicPr>
                  <pic:blipFill>
                    <a:blip r:embed="rId84406983a864080b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Denmark, France (mainland), Germany, Lithuania, Netherlands, Portugal (mainland, Madeira), Romania, Spain (mainland), Sweden, Switzerland,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Mozambique,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Colorado, Idaho, Nevada, New Mexico, Oregon, Texas,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takes approximately 3-5 weeks under favourable conditions. First stage juveniles moult into second stage juveniles within the eggs. Second-stage juveniles hatch from eggs in the soil or on the root surface and migrate to the roots of host plants. They penetrate the root tips through unsuberized epidermal cells or wounds and move into the cortical region. Soon after entry, nematodes stimulate giant cell and gall formulation in the host tissue and become sedentary. Necrotic lesions occur in the cortex. Juveniles then swell to become sausage-shaped, stop feeding and undergo three rapid successive moults to become adult males or females. Adult males have slender, vermiform bodies; they leave the root and are found free in the rhizosphere or near the protruding body of the female. However, as in the case of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it is probable that males are generally functionless, and reproduction is nearly always parthenogenetic. Adult females have characteristically pear-shaped, pearly white bodies and they are found embedded in host tissue. Eggs are laid by the female in a gelatinous sac near the root surface. In potato tubers, modified host cells form a protective layer or 'basket' around the egg mass and the juveniles as they hatch.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passes the winter as eggs or juveniles and can survive extended periods of sub-freezing temperatures.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metabolism becomes active when the soil temperature rises above 5°C. It requires 600-800 degree-days to complete the first generation; subsequent generations require 500-600 degree-days, however, the number of degree-days might vary between crops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Northern root-knot nematode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which is often found in mixed populations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requires a similar number of degree-days for development but does not begin development until temperatures rise above 10°C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the absence of a suitable host, the population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usually declines rapidly. Population decline can be up to 80% within one month after potato harvest, but generally is more in the range of 70-90% reduction over three months. Unlike cyst nematodes,</w:t>
      </w:r>
      <w:r>
        <w:rPr>
          <w:rFonts w:ascii="Calibri" w:hAnsi="Calibri" w:eastAsia="Calibri" w:cs="Calibri"/>
          <w:i/>
          <w:iCs/>
          <w:color w:val="000000"/>
          <w:sz w:val="22"/>
          <w:szCs w:val="22"/>
        </w:rPr>
        <w:t xml:space="preserve"> M. chitwoodi</w:t>
      </w:r>
      <w:r>
        <w:rPr>
          <w:rFonts w:ascii="Calibri" w:hAnsi="Calibri" w:eastAsia="Calibri" w:cs="Calibri"/>
          <w:color w:val="000000"/>
          <w:sz w:val="22"/>
          <w:szCs w:val="22"/>
        </w:rPr>
        <w:t xml:space="preserve"> does not have a specific survival stage, but individual second-stage juveniles can survive in the soil for up to 1 year and eggs can survive for up to 4 years (pers. comm. J. Hallmann).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vary according to host, population density of the nematode and environmental conditions. Above-ground symptoms are often not obvious but may consist of varying degrees of stunting, lack of vigour and a tendency to wilt under moisture stress, all leading to reduced yield, while below-ground galling is typical and can vary in size and numbers depending on the host and population density.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produced on potato roots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differ from those caused by other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for example, forms small but distinct galls (together with extensive root proliferation) while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forms large, easily noticeable galls. The symptoms caused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often not easily detected and are more apparent in some cultivars than in others; tubers may, in some cases, be heavily infected without visible symptoms. When present, the galls appear as small, raised swellings on the tuber surface above the developing nematodes. A number of galls may be concentrated on one area of the tuber or single galls may be scattered near eyes or lesions. Internal tissue below the gall is necrotic and brownish. Adult females are visible just below the surface as glistening, white, pear-shaped bodies surrounded by a brownish layer of host tissue. Potato roots may also be infested, but this is difficult to detect without a magnifying lens, as little or no galling occurs, even in heavy infestations. The spherical bodies of females may protrude from the surface of small rootlets surrounded posteriorly by a large egg-filled sac which becomes dark-brown with age. On carrots and black salsify, severe galling occurs in close proximity to lenticels. The extent of galling is cultivar dependent and affected by the population density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existing environmental conditions. In other host crops, root galls and reduced root growth are also observed, decreasing yields and marketability. Gall formation occurs on most cereals but is more noticeable on wheat and oats than on barley or maize. In tomatoes,</w:t>
      </w:r>
      <w:r>
        <w:rPr>
          <w:rFonts w:ascii="Calibri" w:hAnsi="Calibri" w:eastAsia="Calibri" w:cs="Calibri"/>
          <w:i/>
          <w:iCs/>
          <w:color w:val="000000"/>
          <w:sz w:val="22"/>
          <w:szCs w:val="22"/>
        </w:rPr>
        <w:t xml:space="preserve"> M. chitwoodi </w:t>
      </w:r>
      <w:r>
        <w:rPr>
          <w:rFonts w:ascii="Calibri" w:hAnsi="Calibri" w:eastAsia="Calibri" w:cs="Calibri"/>
          <w:color w:val="000000"/>
          <w:sz w:val="22"/>
          <w:szCs w:val="22"/>
        </w:rPr>
        <w:t xml:space="preserve">produces root galls in some cultivars but not in others.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and the second-stage juveniles are vermiform and motile, similar in general appearance to free-living soil nematodes. Females are characteristically pear-shaped, pearly-white and sedentary. The male is 887-1268 µm in length and 22-37 µm in width with a slight taper at each end. The tail is short, 4.7-9.0 µm and rounded. Cuticular annules are distinct and are more prominent near each end. The female is 430-740 µm in length and 344-518 µm in width. Second-stage juveniles are 336-417 µm in length and 12.5- 15.5 µm in width, tail short, 39-47 µm, scarcely tapered and hyaline. Eggs are 79-92 µm in length and 40-46 µm in width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best carried out according to the description in the EPPO Diagnostic Standard PM 7/41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(EPPO, 2016). This Standard provides all relevant morphological information and molecular tools for an accurate identification and discusses possible confusion with similar species, such as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Diagnostic Standards PM 7/119 (EPPO, 2013a) and PM 7/41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External symptoms on tubers are obvious in the case of heavy infestations (EPPO, 2019a) but, where nematode numbers are low or in the early stages of infection, such symptoms are not obvious. Clearing and staining of the tissues can show the presence of nematodes (Hooper, 1986) but this can be a laborious procedure. Storage of lightly infested tubers may lead to the development of obvious external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very limited potential for natural movement; only second-stage juveniles can move in the soil and, at most, only a few tens of centimetres. The most likely pathway for introducing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a new area is through the movement of infested planting material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could also result in spread (EPPO, 2013b). Soil as such is also a possible pathway.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causes only limited or no yield reduction, however, severe quality losses can occur on certain products, such as potatoes, black salsify and carrots. If the level of infection is high, complete rejection of these crops is possible. Due to these quality losses, the threshold level for those crops is usually defined at around the detection level, i.e. 1 juvenile/100 mL soil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potato, 5% visual symptoms on the tuber generally make the crop commercially unacceptable. Similar threshold levels apply to carrot and black salsify, but in practice, many companies apply zero tolerance of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on other crops are not as marked nor as well documented. In many cases, potential yield losses have been documented under greenhouse conditions, such as for wheat, barley, oat, maize, bean and pea (Santo &amp; O'Bannon, 1981; Santo &amp; Ponti, 1985), but the impact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such crops in practice is generally considered to be minor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be challenging and could focus on host suitability, damage thresholds, effect of fallow, the use of green manure crops and time of sowing. Crop rotation is difficult considering the broad host spectrum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comprising monocotyledonous and dicotyledonous crops and weeds. Crops commonly rotated with potato such as wheat, barley and maize are all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The same applies to several vegetables, which could allow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populations to be maintained. There are only a few crops that are known to be non-hosts (see Host section).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certain crops, cultivars can vary in susceptibility and tolerance towards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Riel, 1993), which can help in managing the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been reported from several wild potato species including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fendleri,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hougasii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stenophyllidium</w:t>
      </w:r>
      <w:r>
        <w:rPr>
          <w:rFonts w:ascii="Calibri" w:hAnsi="Calibri" w:eastAsia="Calibri" w:cs="Calibri"/>
          <w:color w:val="000000"/>
          <w:sz w:val="22"/>
          <w:szCs w:val="22"/>
        </w:rPr>
        <w:t xml:space="preserve">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Graebner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Efforts to introgress those resistance genes into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are ongoing, but it will take several more years before resistant cultivars are expected to enter the market. If resistant cultivars become available and the resistance is based on a single gene, resistance management will be required to avoid or at least delay the selection of resistance-breaking pathotypes. Strong and so far stable resistance exists in fodder radish providing a good management tool wherever cover crops can be grown (Teklu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strategies focus on using plant defence elicitors such as StPep1, secreted by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potato (Zhang &amp; Gleason,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Cover crops not carrying any resistance can be grown as a trap crop to reduce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populations. Juveniles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will enter the roots, initiate a feeding site and become sedentary. The so trapped nematodes are then killed by mechanical or chemical destruction of the plants just before egg production starts, i.e. 3-4 weeks after seedlings have emerged. The optimum time point for plant destruction can be calculated according to the degree-days. </w:t>
      </w:r>
    </w:p>
    <w:p>
      <w:pPr>
        <w:widowControl w:val="on"/>
        <w:pBdr/>
        <w:spacing w:before="220" w:after="220" w:line="240" w:lineRule="auto"/>
        <w:ind w:left="0" w:right="0"/>
        <w:jc w:val="both"/>
      </w:pPr>
      <w:r>
        <w:rPr>
          <w:rFonts w:ascii="Calibri" w:hAnsi="Calibri" w:eastAsia="Calibri" w:cs="Calibri"/>
          <w:color w:val="000000"/>
          <w:sz w:val="22"/>
          <w:szCs w:val="22"/>
        </w:rPr>
        <w:t xml:space="preserve">Biofumigation might be an additional option for controlling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(Ploeg, 2008). </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available, fumigants (e.g. 1,3-dichlorpropene, metam sodium) and non-fumigant nematicides (e.g. ethoprophos, fenamiphos, fosthiazate, oxamyl) are used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with fumigant nematicides generally being more effective than non-fumigants (Ingham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Site-specific management practices might help in reducing the negative impact of those nematicides on the environment (King &amp; Taberna,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the distribution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limited to few countries in the more temperate regions of Europe and North America; However,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may be able to establish in a large proportion of its host area in the EPPO Region. Establishment would depend on climate, management practices (e.g. crop rotation, irrigation) and soil texture. High temperatures and/or dry periods in absence of a host plant are considered the most limiting factors for establishment and development in the South of the EPPO region (EFSA, 2012).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presents a high damage potential to root and tuber crops such as potato, carrot and black salsify, potato being the crop that would be most at risk in the EPPO region.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considered to represent a greater threat than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already widespread in the EPPO region, in particular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with which it often forms mixed populations. Indeed,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less easily controlled by crop rotation and nematicides, it has a wider host range, it produces more severe tuber symptoms and is tolerant of lower soil temperatures.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machinery, equipment, vehicles, and passengers’ shoes can be cleaned. Publicity would enhance public awareness about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for travellers.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 The regulatory control system was developed for potato but can be applied to other crops as well, with possible slight modifications depending on the crops.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Best4Soils (2020) A network of practioners, for sharing knowledge on prevention and reduction of soil borne diseases. Available at </w:t>
      </w:r>
      <w:hyperlink r:id="rId65466983a864090e8" w:history="1">
        <w:r>
          <w:rPr>
            <w:rFonts w:ascii="Calibri" w:hAnsi="Calibri" w:eastAsia="Calibri" w:cs="Calibri"/>
            <w:color w:val="0000CC"/>
            <w:sz w:val="22"/>
            <w:szCs w:val="22"/>
            <w:u w:val="single"/>
          </w:rPr>
          <w:t xml:space="preserve">https://www.best4soil.eu/</w:t>
        </w:r>
      </w:hyperlink>
      <w:r>
        <w:rPr>
          <w:rFonts w:ascii="Calibri" w:hAnsi="Calibri" w:eastAsia="Calibri" w:cs="Calibri"/>
          <w:color w:val="000000"/>
          <w:sz w:val="22"/>
          <w:szCs w:val="22"/>
        </w:rPr>
        <w:t xml:space="preserve"> (accessed at 18.12.2020).</w:t>
      </w:r>
    </w:p>
    <w:p>
      <w:pPr>
        <w:widowControl w:val="on"/>
        <w:pBdr/>
        <w:spacing w:before="220" w:after="220" w:line="240" w:lineRule="auto"/>
        <w:ind w:left="0" w:right="0"/>
        <w:jc w:val="left"/>
      </w:pPr>
      <w:r>
        <w:rPr>
          <w:rFonts w:ascii="Calibri" w:hAnsi="Calibri" w:eastAsia="Calibri" w:cs="Calibri"/>
          <w:color w:val="000000"/>
          <w:sz w:val="22"/>
          <w:szCs w:val="22"/>
        </w:rPr>
        <w:t xml:space="preserve">Cuevas OY &amp; Sosa-Moss C (1990) Host plants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states of Tlaxcala and Puebla, Mexico. </w:t>
      </w:r>
      <w:r>
        <w:rPr>
          <w:rFonts w:ascii="Calibri" w:hAnsi="Calibri" w:eastAsia="Calibri" w:cs="Calibri"/>
          <w:i/>
          <w:iCs/>
          <w:color w:val="000000"/>
          <w:sz w:val="22"/>
          <w:szCs w:val="22"/>
        </w:rPr>
        <w:t xml:space="preserve">Current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b/>
          <w:bCs/>
          <w:color w:val="000000"/>
          <w:sz w:val="22"/>
          <w:szCs w:val="22"/>
        </w:rPr>
        <w:t xml:space="preserve">2012</w:t>
      </w:r>
      <w:r>
        <w:rPr>
          <w:rFonts w:ascii="Calibri" w:hAnsi="Calibri" w:eastAsia="Calibri" w:cs="Calibri"/>
          <w:color w:val="000000"/>
          <w:sz w:val="22"/>
          <w:szCs w:val="22"/>
        </w:rPr>
        <w:t xml:space="preserve">, 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EFSA supporting publication EN-1572. DOI:10.2903/sp.efsa.2019.EN-1572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present in Netherlands.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30906983a86409352"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 (2)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67866983a8640968a"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H, Carlson HL, Viglierchio DR, Westerdahl BB, Wu FW, Anderson CE, Juurma A &amp; Kirby DW (1994) Host status of selected crops to </w:t>
      </w:r>
      <w:r>
        <w:rPr>
          <w:rFonts w:ascii="Calibri" w:hAnsi="Calibri" w:eastAsia="Calibri" w:cs="Calibri"/>
          <w:i/>
          <w:iCs/>
          <w:color w:val="000000"/>
          <w:sz w:val="22"/>
          <w:szCs w:val="22"/>
        </w:rPr>
        <w:t xml:space="preserve">Meloidogyne chitwoodi.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25 </w:t>
      </w:r>
      <w:r>
        <w:rPr>
          <w:rFonts w:ascii="Calibri" w:hAnsi="Calibri" w:eastAsia="Calibri" w:cs="Calibri"/>
          <w:color w:val="000000"/>
          <w:sz w:val="22"/>
          <w:szCs w:val="22"/>
        </w:rPr>
        <w:t xml:space="preserve">Suppl., 849-857. </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O'Bannon JH, Santo GS &amp; Finley AM (1980) Description and SEM observations of </w:t>
      </w:r>
      <w:r>
        <w:rPr>
          <w:rFonts w:ascii="Calibri" w:hAnsi="Calibri" w:eastAsia="Calibri" w:cs="Calibri"/>
          <w:i/>
          <w:iCs/>
          <w:color w:val="000000"/>
          <w:sz w:val="22"/>
          <w:szCs w:val="22"/>
        </w:rPr>
        <w:t xml:space="preserve">Meloidogyne chitwoodi n. sp</w:t>
      </w:r>
      <w:r>
        <w:rPr>
          <w:rFonts w:ascii="Calibri" w:hAnsi="Calibri" w:eastAsia="Calibri" w:cs="Calibri"/>
          <w:color w:val="000000"/>
          <w:sz w:val="22"/>
          <w:szCs w:val="22"/>
        </w:rPr>
        <w:t xml:space="preserve">. (Meloidogynidae). A root knot nematode on potato in the Pacific Northwest.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319-327. </w:t>
      </w:r>
    </w:p>
    <w:p>
      <w:pPr>
        <w:widowControl w:val="on"/>
        <w:pBdr/>
        <w:spacing w:before="220" w:after="220" w:line="240" w:lineRule="auto"/>
        <w:ind w:left="0" w:right="0"/>
        <w:jc w:val="left"/>
      </w:pPr>
      <w:r>
        <w:rPr>
          <w:rFonts w:ascii="Calibri" w:hAnsi="Calibri" w:eastAsia="Calibri" w:cs="Calibri"/>
          <w:color w:val="000000"/>
          <w:sz w:val="22"/>
          <w:szCs w:val="22"/>
        </w:rPr>
        <w:t xml:space="preserve">Graebner RC, Brown CR, Ingham RE, Hagerty CH, Mojtahedi H, Quick RA, Hamlin LL, Wade N, Bamberg JB &amp; Sathuvalli V (2018) Resistance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identified in wild potato species.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679-686.</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Been TH, Schomaker CH &amp; Teklu MG (2015) Damage thresholds and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at different seed densities.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501-514.</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(1986) Preserving and staining nematodes in plant tissues. In: Laboratory methods for work with plant and soil nematodes (Ed. by Southey JF). HMSO,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Ingham RE, Hamm PB, Williams RE &amp; Swanson WH (2000) Control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potato with fumigant and nonfumigant nematicides.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556-565.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hapla </w:t>
      </w:r>
      <w:r>
        <w:rPr>
          <w:rFonts w:ascii="Calibri" w:hAnsi="Calibri" w:eastAsia="Calibri" w:cs="Calibri"/>
          <w:color w:val="000000"/>
          <w:sz w:val="22"/>
          <w:szCs w:val="22"/>
        </w:rPr>
        <w:t xml:space="preserve">andin wild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Wesemael W &amp; Moens M (2014) Influence of temperature on the development of the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King BA &amp; Taberna JP Jr (2013) Site-specific management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Idaho potatoes using 1,3-Dichloropropene; approach, experiences, and economics.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202–213.</w:t>
      </w:r>
    </w:p>
    <w:p>
      <w:pPr>
        <w:widowControl w:val="on"/>
        <w:pBdr/>
        <w:spacing w:before="220" w:after="220" w:line="240" w:lineRule="auto"/>
        <w:ind w:left="0" w:right="0"/>
        <w:jc w:val="left"/>
      </w:pPr>
      <w:r>
        <w:rPr>
          <w:rFonts w:ascii="Calibri" w:hAnsi="Calibri" w:eastAsia="Calibri" w:cs="Calibri"/>
          <w:color w:val="000000"/>
          <w:sz w:val="22"/>
          <w:szCs w:val="22"/>
        </w:rPr>
        <w:t xml:space="preserve">Kutywayo V &amp; Been TH (2006) Host status of six major weeds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including a preliminary field survey concerning other weeds.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647-657.</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Santo GS &amp; Wilson JH (1988) Host tests to differentiate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races 1 and 2 and </w:t>
      </w:r>
      <w:r>
        <w:rPr>
          <w:rFonts w:ascii="Calibri" w:hAnsi="Calibri" w:eastAsia="Calibri" w:cs="Calibri"/>
          <w:i/>
          <w:iCs/>
          <w:color w:val="000000"/>
          <w:sz w:val="22"/>
          <w:szCs w:val="22"/>
        </w:rPr>
        <w:t xml:space="preserve">M. hapla. 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468-473.</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Brown CR, Riga E &amp; Zhang LH (2007) A new pathotype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race 1 from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1051.</w:t>
      </w:r>
    </w:p>
    <w:p>
      <w:pPr>
        <w:widowControl w:val="on"/>
        <w:pBdr/>
        <w:spacing w:before="220" w:after="220" w:line="240" w:lineRule="auto"/>
        <w:ind w:left="0" w:right="0"/>
        <w:jc w:val="left"/>
      </w:pPr>
      <w:r>
        <w:rPr>
          <w:rFonts w:ascii="Calibri" w:hAnsi="Calibri" w:eastAsia="Calibri" w:cs="Calibri"/>
          <w:color w:val="000000"/>
          <w:sz w:val="22"/>
          <w:szCs w:val="22"/>
        </w:rPr>
        <w:t xml:space="preserve">O'Bannon JH, Santo GS &amp; Nyczepir AP (1982) Host range of the Columbia root-knot nematode.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1045-1048.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Santo GS &amp; Mojtahedi H (1991)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Russet Burbank potatoes in relation to degree-day accumulation.</w:t>
      </w:r>
      <w:r>
        <w:rPr>
          <w:rFonts w:ascii="Calibri" w:hAnsi="Calibri" w:eastAsia="Calibri" w:cs="Calibri"/>
          <w:i/>
          <w:iCs/>
          <w:color w:val="000000"/>
          <w:sz w:val="22"/>
          <w:szCs w:val="22"/>
        </w:rPr>
        <w:t xml:space="preserve"> Journal of 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283- 290.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(2008) Biofumigation to manage plant-parasitic nematodes. In: Integrated management and biocontrol of vegetable and grain crops nematodes (Ed. By Ciancio A, Mukerji KG), pp. 239-258.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O'Bannon JH (1981) Pathogenicity of the Columbia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wheat, corn, oat and barley.</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548-550.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Pinkerton JN (1985) A second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discovered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Ponti RP (1985) Host suitability and reaction of bean and pea cultivars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O'Bannon JH, Finley AM &amp; Golden AM (1980) Occurrence and host range of a new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Pacific Northwest.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951-952.</w:t>
      </w:r>
    </w:p>
    <w:p>
      <w:pPr>
        <w:widowControl w:val="on"/>
        <w:pBdr/>
        <w:spacing w:before="220" w:after="220" w:line="240" w:lineRule="auto"/>
        <w:ind w:left="0" w:right="0"/>
        <w:jc w:val="left"/>
      </w:pPr>
      <w:r>
        <w:rPr>
          <w:rFonts w:ascii="Calibri" w:hAnsi="Calibri" w:eastAsia="Calibri" w:cs="Calibri"/>
          <w:color w:val="000000"/>
          <w:sz w:val="22"/>
          <w:szCs w:val="22"/>
        </w:rPr>
        <w:t xml:space="preserve">Teklu MG, Schomaker CH &amp; Been TH (2014) Relative susceptibility of five fodder radish varieties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 oleiformis)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577-590.</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(1993) Comparison of potato cultivars in relation to their level of external symptoms on tubers caused by </w:t>
      </w:r>
      <w:r>
        <w:rPr>
          <w:rFonts w:ascii="Calibri" w:hAnsi="Calibri" w:eastAsia="Calibri" w:cs="Calibri"/>
          <w:i/>
          <w:iCs/>
          <w:color w:val="000000"/>
          <w:sz w:val="22"/>
          <w:szCs w:val="22"/>
        </w:rPr>
        <w:t xml:space="preserve">Meloidogyne chitwoodi. Mededelingen van de Faculteit Landbouwwetenschappen, 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(2020) Enhancing potato resistance against root-knot nematodes using a plant-defence elicitor delivered by bacteria.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625-629.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Johannes Hallmann, Julius Kühn Institute, Federal Research Centre for Cultivated Plants, Messeweg 11/12, 38104 Braunschweig,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EPPO datasheets on pests recommended for regulation. Available online. </w:t>
      </w:r>
      <w:hyperlink r:id="rId34266983a8640a1b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7423900" name="name32446983a8640a5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346983a8640a53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199640">
    <w:multiLevelType w:val="hybridMultilevel"/>
    <w:lvl w:ilvl="0" w:tplc="47384233">
      <w:start w:val="1"/>
      <w:numFmt w:val="decimal"/>
      <w:lvlText w:val="%1."/>
      <w:lvlJc w:val="left"/>
      <w:pPr>
        <w:ind w:left="720" w:hanging="360"/>
      </w:pPr>
    </w:lvl>
    <w:lvl w:ilvl="1" w:tplc="47384233" w:tentative="1">
      <w:start w:val="1"/>
      <w:numFmt w:val="lowerLetter"/>
      <w:lvlText w:val="%2."/>
      <w:lvlJc w:val="left"/>
      <w:pPr>
        <w:ind w:left="1440" w:hanging="360"/>
      </w:pPr>
    </w:lvl>
    <w:lvl w:ilvl="2" w:tplc="47384233" w:tentative="1">
      <w:start w:val="1"/>
      <w:numFmt w:val="lowerRoman"/>
      <w:lvlText w:val="%3."/>
      <w:lvlJc w:val="right"/>
      <w:pPr>
        <w:ind w:left="2160" w:hanging="180"/>
      </w:pPr>
    </w:lvl>
    <w:lvl w:ilvl="3" w:tplc="47384233" w:tentative="1">
      <w:start w:val="1"/>
      <w:numFmt w:val="decimal"/>
      <w:lvlText w:val="%4."/>
      <w:lvlJc w:val="left"/>
      <w:pPr>
        <w:ind w:left="2880" w:hanging="360"/>
      </w:pPr>
    </w:lvl>
    <w:lvl w:ilvl="4" w:tplc="47384233" w:tentative="1">
      <w:start w:val="1"/>
      <w:numFmt w:val="lowerLetter"/>
      <w:lvlText w:val="%5."/>
      <w:lvlJc w:val="left"/>
      <w:pPr>
        <w:ind w:left="3600" w:hanging="360"/>
      </w:pPr>
    </w:lvl>
    <w:lvl w:ilvl="5" w:tplc="47384233" w:tentative="1">
      <w:start w:val="1"/>
      <w:numFmt w:val="lowerRoman"/>
      <w:lvlText w:val="%6."/>
      <w:lvlJc w:val="right"/>
      <w:pPr>
        <w:ind w:left="4320" w:hanging="180"/>
      </w:pPr>
    </w:lvl>
    <w:lvl w:ilvl="6" w:tplc="47384233" w:tentative="1">
      <w:start w:val="1"/>
      <w:numFmt w:val="decimal"/>
      <w:lvlText w:val="%7."/>
      <w:lvlJc w:val="left"/>
      <w:pPr>
        <w:ind w:left="5040" w:hanging="360"/>
      </w:pPr>
    </w:lvl>
    <w:lvl w:ilvl="7" w:tplc="47384233" w:tentative="1">
      <w:start w:val="1"/>
      <w:numFmt w:val="lowerLetter"/>
      <w:lvlText w:val="%8."/>
      <w:lvlJc w:val="left"/>
      <w:pPr>
        <w:ind w:left="5760" w:hanging="360"/>
      </w:pPr>
    </w:lvl>
    <w:lvl w:ilvl="8" w:tplc="47384233" w:tentative="1">
      <w:start w:val="1"/>
      <w:numFmt w:val="lowerRoman"/>
      <w:lvlText w:val="%9."/>
      <w:lvlJc w:val="right"/>
      <w:pPr>
        <w:ind w:left="6480" w:hanging="180"/>
      </w:pPr>
    </w:lvl>
  </w:abstractNum>
  <w:abstractNum w:abstractNumId="69199639">
    <w:multiLevelType w:val="hybridMultilevel"/>
    <w:lvl w:ilvl="0" w:tplc="351573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199639">
    <w:abstractNumId w:val="69199639"/>
  </w:num>
  <w:num w:numId="69199640">
    <w:abstractNumId w:val="691996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4998894" Type="http://schemas.microsoft.com/office/2011/relationships/commentsExtended" Target="commentsExtended.xml"/><Relationship Id="rId258296242" Type="http://schemas.microsoft.com/office/2011/relationships/people" Target="people.xml"/><Relationship Id="rId10536983a86405395" Type="http://schemas.openxmlformats.org/officeDocument/2006/relationships/hyperlink" Target="https://gd.eppo.int/taxon/MELGCH/" TargetMode="External"/><Relationship Id="rId14076983a864053fe" Type="http://schemas.openxmlformats.org/officeDocument/2006/relationships/hyperlink" Target="https://gd.eppo.int/taxon/MELGCH/categorization" TargetMode="External"/><Relationship Id="rId62086983a86405b87" Type="http://schemas.openxmlformats.org/officeDocument/2006/relationships/hyperlink" Target="https://gd.eppo.int/taxon/MELGCH/photos" TargetMode="External"/><Relationship Id="rId65466983a864090e8" Type="http://schemas.openxmlformats.org/officeDocument/2006/relationships/hyperlink" Target="https://www.best4soil.eu/" TargetMode="External"/><Relationship Id="rId30906983a86409352" Type="http://schemas.openxmlformats.org/officeDocument/2006/relationships/hyperlink" Target="https://gd.eppo.int/standards/PM3/" TargetMode="External"/><Relationship Id="rId67866983a8640968a" Type="http://schemas.openxmlformats.org/officeDocument/2006/relationships/hyperlink" Target="https://gd.eppo.int/standards/PM3/" TargetMode="External"/><Relationship Id="rId34266983a8640a1b4" Type="http://schemas.openxmlformats.org/officeDocument/2006/relationships/hyperlink" Target="https://gd.eppo.int" TargetMode="External"/><Relationship Id="rId67276983a86405a6b" Type="http://schemas.openxmlformats.org/officeDocument/2006/relationships/image" Target="media/imgrId67276983a86405a6b.jpg"/><Relationship Id="rId84406983a864080bb" Type="http://schemas.openxmlformats.org/officeDocument/2006/relationships/image" Target="media/imgrId84406983a864080bb.jpg"/><Relationship Id="rId70346983a8640a53d" Type="http://schemas.openxmlformats.org/officeDocument/2006/relationships/image" Target="media/imgrId70346983a8640a53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