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chitwoodi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chitwoodi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Golden, O'Bannon, Santo &amp; Finley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Columbia root-knot nematode (US)</w:t>
            </w:r>
            <w:hyperlink r:id="rId56486620442a7aed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0376620442a7af5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MELGCH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423196" name="name55956620442a7b373" descr="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4.jpg"/>
                          <pic:cNvPicPr/>
                        </pic:nvPicPr>
                        <pic:blipFill>
                          <a:blip r:embed="rId46006620442a7b371" cstate="print"/>
                          <a:stretch>
                            <a:fillRect/>
                          </a:stretch>
                        </pic:blipFill>
                        <pic:spPr>
                          <a:xfrm>
                            <a:off x="0" y="0"/>
                            <a:ext cx="2160000" cy="1281600"/>
                          </a:xfrm>
                          <a:prstGeom prst="rect">
                            <a:avLst/>
                          </a:prstGeom>
                          <a:ln w="0">
                            <a:noFill/>
                          </a:ln>
                        </pic:spPr>
                      </pic:pic>
                    </a:graphicData>
                  </a:graphic>
                </wp:inline>
              </w:drawing>
            </w:r>
            <w:hyperlink r:id="rId92176620442a7b482"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 host range among monocotyledonous and dicotyledonous crop plants, including weeds and economically important crops.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are good hosts, while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oats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var. saccharifera),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and various Poaceae (grasses and weeds) will only maintain the nematode (Santo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Kutywayo &amp; Been, 2006; EFSA, 2019). Moderate to poor hosts occur in the Apiaceae, Brassicaceae, Cucurbitaceae, Fabaceae, Lamiaceae, Liliaceae and Vitaceae. According to Best4Soil database, marigold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strawberry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linseed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chicory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and spinach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are not host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(Best4Soil, 2020), also marigold and chicory are reported to allow some reproduction (Brinkmann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Besides, several fodder radish cultivars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oleifer</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are available with very good 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Two races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been described, distinguished by slight differences in host range. Race 1 reproduces on carrot but not on lucerne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whereas race 2 reproduces on lucerne but not on carrot (Santo &amp; Pinkerton, 1985;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Race 1 occurs worldwide, while race 2 is only reported from the Pacific Northwest in the USA and Mexico (Santo &amp; Ponti</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1985; Cuevas &amp; Sosa-Moss, 1990). Ferris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when investigating suitable crops for rotation with potato in the presence of race 1 in USA, recommend the use of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lucerne, oilseed rape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oleifera</w:t>
      </w:r>
      <w:r>
        <w:rPr>
          <w:rFonts w:ascii="Calibri" w:hAnsi="Calibri" w:eastAsia="Calibri" w:cs="Calibri"/>
          <w:color w:val="000000"/>
          <w:sz w:val="22"/>
          <w:szCs w:val="22"/>
        </w:rPr>
        <w:t xml:space="preserve">), fodder radish and safflower (</w:t>
      </w:r>
      <w:r>
        <w:rPr>
          <w:rFonts w:ascii="Calibri" w:hAnsi="Calibri" w:eastAsia="Calibri" w:cs="Calibri"/>
          <w:i/>
          <w:iCs/>
          <w:color w:val="000000"/>
          <w:sz w:val="22"/>
          <w:szCs w:val="22"/>
        </w:rPr>
        <w:t xml:space="preserve">Carthamus tinctorius</w:t>
      </w:r>
      <w:r>
        <w:rPr>
          <w:rFonts w:ascii="Calibri" w:hAnsi="Calibri" w:eastAsia="Calibri" w:cs="Calibri"/>
          <w:color w:val="000000"/>
          <w:sz w:val="22"/>
          <w:szCs w:val="22"/>
        </w:rPr>
        <w:t xml:space="preserve">). Both races do not reproduce on </w:t>
      </w:r>
      <w:r>
        <w:rPr>
          <w:rFonts w:ascii="Calibri" w:hAnsi="Calibri" w:eastAsia="Calibri" w:cs="Calibri"/>
          <w:i/>
          <w:iCs/>
          <w:color w:val="000000"/>
          <w:sz w:val="22"/>
          <w:szCs w:val="22"/>
        </w:rPr>
        <w:t xml:space="preserve">Solanum bulbocastanum</w:t>
      </w:r>
      <w:r>
        <w:rPr>
          <w:rFonts w:ascii="Calibri" w:hAnsi="Calibri" w:eastAsia="Calibri" w:cs="Calibri"/>
          <w:color w:val="000000"/>
          <w:sz w:val="22"/>
          <w:szCs w:val="22"/>
        </w:rPr>
        <w:t xml:space="preserve">, while this wild potato species is used as source for resistance in breeding programs. However, populations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race 1 have been found to overcome the main resistance gene </w:t>
      </w:r>
      <w:r>
        <w:rPr>
          <w:rFonts w:ascii="Calibri" w:hAnsi="Calibri" w:eastAsia="Calibri" w:cs="Calibri"/>
          <w:i/>
          <w:iCs/>
          <w:color w:val="000000"/>
          <w:sz w:val="22"/>
          <w:szCs w:val="22"/>
        </w:rPr>
        <w:t xml:space="preserve">Rmc1(blb)</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(Mojtahedi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host crops recorded to be attacked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carrots, cereals, common bean (</w:t>
      </w:r>
      <w:r>
        <w:rPr>
          <w:rFonts w:ascii="Calibri" w:hAnsi="Calibri" w:eastAsia="Calibri" w:cs="Calibri"/>
          <w:i/>
          <w:iCs/>
          <w:color w:val="000000"/>
          <w:sz w:val="22"/>
          <w:szCs w:val="22"/>
        </w:rPr>
        <w:t xml:space="preserve">Phaseolus vulgari</w:t>
      </w:r>
      <w:r>
        <w:rPr>
          <w:rFonts w:ascii="Calibri" w:hAnsi="Calibri" w:eastAsia="Calibri" w:cs="Calibri"/>
          <w:color w:val="000000"/>
          <w:sz w:val="22"/>
          <w:szCs w:val="22"/>
        </w:rPr>
        <w:t xml:space="preserve">s), maize, peas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potatoes, sugar beet and tomatoes (EPPO, 1991). It is expected that many more plant species are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campestre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palmatum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Actaea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cylindrica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 var. rapaceum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elatius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syriaca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cicer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 falcatus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Borago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Capsella bursa-pastoris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endivia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 var. foliosum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Coronilla varia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dactylon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Dasiphora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Dicentra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curvula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orcuttiana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tef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cinerea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sieboldiana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xiphium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Lamium amplexicaule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xylosteum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scutellata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capillare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subsp. oleiferus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Salsola kali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Setaria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Valeriana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originally described in 1980 from potato collected from Quincy, Washington, USA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At that time, the species was known to occur in the Pacific Northwest of the USA, in certain areas of Idaho, Washington and Oregon. Its common name derives from the Columbia River Basin of South Central, Washington and North Central Oregon where it was first reported.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was first detected in the EPPO region in the 1980s, in the Netherlands, but a review of old illustrations and old specimens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suggests that it may have occurred earlier (in the 1930s) and may have been present throughout the intervening period (EPPO, 1991). It is possible that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a wider distribution in Europe, than is currently known, remaining undetected, but this is now actively under investigation.</w:t>
      </w:r>
    </w:p>
    <w:p>
      <w:r>
        <w:drawing>
          <wp:inline distT="0" distB="0" distL="0" distR="0">
            <wp:extent cx="6120000" cy="3067200"/>
            <wp:docPr id="64422579" name="name71126620442a7d825" descr="MELGC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CH_distribution_map.jpg"/>
                    <pic:cNvPicPr/>
                  </pic:nvPicPr>
                  <pic:blipFill>
                    <a:blip r:embed="rId62676620442a7d8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Denmark, France (mainland), Germany, Lithuania, Netherlands, Portugal (mainland, Madeira), Romania, Spain (mainland), Sweden, Switzerland,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Mozambique, South Africa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(California, Colorado, Idaho, Nevada, New Mexico, Oregon, Texas, Utah,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Chile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takes approximately 3-5 weeks under favourable conditions. First stage juveniles moult into second stage juveniles within the eggs. Second-stage juveniles hatch from eggs in the soil or on the root surface and migrate to the roots of host plants. They penetrate the root tips through unsuberized epidermal cells or wounds and move into the cortical region. Soon after entry, nematodes stimulate giant cell and gall formulation in the host tissue and become sedentary. Necrotic lesions occur in the cortex. Juveniles then swell to become sausage-shaped, stop feeding and undergo three rapid successive moults to become adult males or females. Adult males have slender, vermiform bodies; they leave the root and are found free in the rhizosphere or near the protruding body of the female. However, as in the case of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it is probable that males are generally functionless, and reproduction is nearly always parthenogenetic. Adult females have characteristically pear-shaped, pearly white bodies and they are found embedded in host tissue. Eggs are laid by the female in a gelatinous sac near the root surface. In potato tubers, modified host cells form a protective layer or 'basket' around the egg mass and the juveniles as they hatch.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passes the winter as eggs or juveniles and can survive extended periods of sub-freezing temperatures.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metabolism becomes active when the soil temperature rises above 5°C. It requires 600-800 degree-days to complete the first generation; subsequent generations require 500-600 degree-days, however, the number of degree-days might vary between crops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Northern root-knot nematode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which is often found in mixed populations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requires a similar number of degree-days for development but does not begin development until temperatures rise above 10°C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the absence of a suitable host, the population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usually declines rapidly. Population decline can be up to 80% within one month after potato harvest, but generally is more in the range of 70-90% reduction over three months. Unlike cyst nematodes,</w:t>
      </w:r>
      <w:r>
        <w:rPr>
          <w:rFonts w:ascii="Calibri" w:hAnsi="Calibri" w:eastAsia="Calibri" w:cs="Calibri"/>
          <w:i/>
          <w:iCs/>
          <w:color w:val="000000"/>
          <w:sz w:val="22"/>
          <w:szCs w:val="22"/>
        </w:rPr>
        <w:t xml:space="preserve"> M. chitwoodi</w:t>
      </w:r>
      <w:r>
        <w:rPr>
          <w:rFonts w:ascii="Calibri" w:hAnsi="Calibri" w:eastAsia="Calibri" w:cs="Calibri"/>
          <w:color w:val="000000"/>
          <w:sz w:val="22"/>
          <w:szCs w:val="22"/>
        </w:rPr>
        <w:t xml:space="preserve"> does not have a specific survival stage, but individual second-stage juveniles can survive in the soil for up to 1 year and eggs can survive for up to 4 years (pers. comm. J. Hallmann).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vary according to host, population density of the nematode and environmental conditions. Above-ground symptoms are often not obvious but may consist of varying degrees of stunting, lack of vigour and a tendency to wilt under moisture stress, all leading to reduced yield, while below-ground galling is typical and can vary in size and numbers depending on the host and population density. </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galls produced on potato roots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differ from those caused by other species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for example, forms small but distinct galls (together with extensive root proliferation) while </w:t>
      </w:r>
      <w:r>
        <w:rPr>
          <w:rFonts w:ascii="Calibri" w:hAnsi="Calibri" w:eastAsia="Calibri" w:cs="Calibri"/>
          <w:i/>
          <w:iCs/>
          <w:color w:val="000000"/>
          <w:sz w:val="22"/>
          <w:szCs w:val="22"/>
        </w:rPr>
        <w:t xml:space="preserve">M. incognita</w:t>
      </w:r>
      <w:r>
        <w:rPr>
          <w:rFonts w:ascii="Calibri" w:hAnsi="Calibri" w:eastAsia="Calibri" w:cs="Calibri"/>
          <w:color w:val="000000"/>
          <w:sz w:val="22"/>
          <w:szCs w:val="22"/>
        </w:rPr>
        <w:t xml:space="preserve"> forms large, easily noticeable galls. The symptoms caused by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often not easily detected and are more apparent in some cultivars than in others; tubers may, in some cases, be heavily infected without visible symptoms. When present, the galls appear as small, raised swellings on the tuber surface above the developing nematodes. A number of galls may be concentrated on one area of the tuber or single galls may be scattered near eyes or lesions. Internal tissue below the gall is necrotic and brownish. Adult females are visible just below the surface as glistening, white, pear-shaped bodies surrounded by a brownish layer of host tissue. Potato roots may also be infested, but this is difficult to detect without a magnifying lens, as little or no galling occurs, even in heavy infestations. The spherical bodies of females may protrude from the surface of small rootlets surrounded posteriorly by a large egg-filled sac which becomes dark-brown with age. On carrots and black salsify, severe galling occurs in close proximity to lenticels. The extent of galling is cultivar dependent and affected by the population density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existing environmental conditions. In other host crops, root galls and reduced root growth are also observed, decreasing yields and marketability. Gall formation occurs on most cereals but is more noticeable on wheat and oats than on barley or maize. In tomatoes,</w:t>
      </w:r>
      <w:r>
        <w:rPr>
          <w:rFonts w:ascii="Calibri" w:hAnsi="Calibri" w:eastAsia="Calibri" w:cs="Calibri"/>
          <w:i/>
          <w:iCs/>
          <w:color w:val="000000"/>
          <w:sz w:val="22"/>
          <w:szCs w:val="22"/>
        </w:rPr>
        <w:t xml:space="preserve"> M. chitwoodi </w:t>
      </w:r>
      <w:r>
        <w:rPr>
          <w:rFonts w:ascii="Calibri" w:hAnsi="Calibri" w:eastAsia="Calibri" w:cs="Calibri"/>
          <w:color w:val="000000"/>
          <w:sz w:val="22"/>
          <w:szCs w:val="22"/>
        </w:rPr>
        <w:t xml:space="preserve">produces root galls in some cultivars but not in others.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males and the second-stage juveniles are vermiform and motile, similar in general appearance to free-living soil nematodes. Females are characteristically pear-shaped, pearly-white and sedentary. The male is 887-1268 µm in length and 22-37 µm in width with a slight taper at each end. The tail is short, 4.7-9.0 µm and rounded. Cuticular annules are distinct and are more prominent near each end. The female is 430-740 µm in length and 344-518 µm in width. Second-stage juveniles are 336-417 µm in length and 12.5- 15.5 µm in width, tail short, 39-47 µm, scarcely tapered and hyaline. Eggs are 79-92 µm in length and 40-46 µm in width (Golden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is best carried out according to the description in the EPPO Diagnostic Standard PM 7/41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(EPPO, 2016). This Standard provides all relevant morphological information and molecular tools for an accurate identification and discusses possible confusion with similar species, such as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Diagnostic Standards PM 7/119 (EPPO, 2013a) and PM 7/41 (EPPO, 2016).</w:t>
      </w:r>
    </w:p>
    <w:p>
      <w:pPr>
        <w:widowControl w:val="on"/>
        <w:pBdr/>
        <w:spacing w:before="220" w:after="220" w:line="240" w:lineRule="auto"/>
        <w:ind w:left="0" w:right="0"/>
        <w:jc w:val="both"/>
      </w:pPr>
      <w:r>
        <w:rPr>
          <w:rFonts w:ascii="Calibri" w:hAnsi="Calibri" w:eastAsia="Calibri" w:cs="Calibri"/>
          <w:color w:val="000000"/>
          <w:sz w:val="22"/>
          <w:szCs w:val="22"/>
        </w:rPr>
        <w:t xml:space="preserve">External symptoms on tubers are obvious in the case of heavy infestations (EPPO, 2019a) but, where nematode numbers are low or in the early stages of infection, such symptoms are not obvious. Clearing and staining of the tissues can show the presence of nematodes (Hooper, 1986) but this can be a laborious procedure. Storage of lightly infested tubers may lead to the development of obvious external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very limited potential for natural movement; only second-stage juveniles can move in the soil and, at most, only a few tens of centimetres. The most likely pathway for introducing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a new area is through the movement of infested planting material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could also result in spread (EPPO, 2013b). Soil as such is also a possible pathway.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cases,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causes only limited or no yield reduction, however, severe quality losses can occur on certain products, such as potatoes, black salsify and carrots. If the level of infection is high, complete rejection of these crops is possible. Due to these quality losses, the threshold level for those crops is usually defined at around the detection level, i.e. 1 juvenile/100 mL soil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potato, 5% visual symptoms on the tuber generally make the crop commercially unacceptable. Similar threshold levels apply to carrot and black salsify, but in practice, many companies apply zero tolerance of 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Effects on other crops are not as marked nor as well documented. In many cases, potential yield losses have been documented under greenhouse conditions, such as for wheat, barley, oat, maize, bean and pea (Santo &amp; O'Bannon, 1981; Santo &amp; Ponti, 1985), but the impact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such crops in practice is generally considered to be minor (EFSA,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be challenging and could focus on host suitability, damage thresholds, effect of fallow, the use of green manure crops and time of sowing. Crop rotation is difficult considering the broad host spectrum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comprising monocotyledonous and dicotyledonous crops and weeds. Crops commonly rotated with potato such as wheat, barley and maize are all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The same applies to several vegetables, which could allow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populations to be maintained. There are only a few crops that are known to be non-hosts (see Host section).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certain crops, cultivars can vary in susceptibility and tolerance towards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Riel, 1993), which can help in managing the nematode. </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Resistance towards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has been reported from several wild potato species including </w:t>
      </w:r>
      <w:r>
        <w:rPr>
          <w:rFonts w:ascii="Calibri" w:hAnsi="Calibri" w:eastAsia="Calibri" w:cs="Calibri"/>
          <w:i/>
          <w:iCs/>
          <w:color w:val="000000"/>
          <w:sz w:val="22"/>
          <w:szCs w:val="22"/>
        </w:rPr>
        <w:t xml:space="preserve">S. bulbocastanum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fendleri,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hougasii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stenophyllidium</w:t>
      </w:r>
      <w:r>
        <w:rPr>
          <w:rFonts w:ascii="Calibri" w:hAnsi="Calibri" w:eastAsia="Calibri" w:cs="Calibri"/>
          <w:color w:val="000000"/>
          <w:sz w:val="22"/>
          <w:szCs w:val="22"/>
        </w:rPr>
        <w:t xml:space="preserve">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Graebner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Efforts to introgress those resistance genes into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are ongoing, but it will take several more years before resistant cultivars are expected to enter the market. If resistant cultivars become available and the resistance is based on a single gene, resistance management will be required to avoid or at least delay the selection of resistance-breaking pathotypes. Strong and so far stable resistance exists in fodder radish providing a good management tool wherever cover crops can be grown (Teklu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Other strategies focus on using plant defence elicitors such as StPep1, secreted by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on potato (Zhang &amp; Gleason, 2020). </w:t>
      </w:r>
    </w:p>
    <w:p>
      <w:pPr>
        <w:widowControl w:val="on"/>
        <w:pBdr/>
        <w:spacing w:before="220" w:after="220" w:line="240" w:lineRule="auto"/>
        <w:ind w:left="0" w:right="0"/>
        <w:jc w:val="both"/>
      </w:pPr>
      <w:r>
        <w:rPr>
          <w:rFonts w:ascii="Calibri" w:hAnsi="Calibri" w:eastAsia="Calibri" w:cs="Calibri"/>
          <w:color w:val="000000"/>
          <w:sz w:val="22"/>
          <w:szCs w:val="22"/>
        </w:rPr>
        <w:t xml:space="preserve">Cover crops not carrying any resistance can be grown as a trap crop to reduce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populations. Juveniles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will enter the roots, initiate a feeding site and become sedentary. The so trapped nematodes are then killed by mechanical or chemical destruction of the plants just before egg production starts, i.e. 3-4 weeks after seedlings have emerged. The optimum time point for plant destruction can be calculated according to the degree-days. </w:t>
      </w:r>
    </w:p>
    <w:p>
      <w:pPr>
        <w:widowControl w:val="on"/>
        <w:pBdr/>
        <w:spacing w:before="220" w:after="220" w:line="240" w:lineRule="auto"/>
        <w:ind w:left="0" w:right="0"/>
        <w:jc w:val="both"/>
      </w:pPr>
      <w:r>
        <w:rPr>
          <w:rFonts w:ascii="Calibri" w:hAnsi="Calibri" w:eastAsia="Calibri" w:cs="Calibri"/>
          <w:color w:val="000000"/>
          <w:sz w:val="22"/>
          <w:szCs w:val="22"/>
        </w:rPr>
        <w:t xml:space="preserve">Biofumigation might be an additional option for controlling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(Ploeg, 2008). </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available, fumigants (e.g. 1,3-dichlorpropene, metam sodium) and non-fumigant nematicides (e.g. ethoprophos, fenamiphos, fosthiazate, oxamyl) are used to control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with fumigant nematicides generally being more effective than non-fumigants (Ingham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Site-specific management practices might help in reducing the negative impact of those nematicides on the environment (King &amp; Taberna,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the distribution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limited to few countries in the more temperate regions of Europe and North America; However,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may be able to establish in a large proportion of its host area in the EPPO Region. Establishment would depend on climate, management practices (e.g. crop rotation, irrigation) and soil texture. High temperatures and/or dry periods in absence of a host plant are considered the most limiting factors for establishment and development in the South of the EPPO region (EFSA, 2012).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presents a high damage potential to root and tuber crops such as potato, carrot and black salsify, potato being the crop that would be most at risk in the EPPO region.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considered to represent a greater threat than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already widespread in the EPPO region, in particular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with which it often forms mixed populations. Indeed,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is less easily controlled by crop rotation and nematicides, it has a wider host range, it produces more severe tuber symptoms and is tolerant of lower soil temperatures.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machinery, equipment, vehicles, and passengers’ shoes can be cleaned. Publicity would enhance public awareness about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for travellers.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 The regulatory control system was developed for potato but can be applied to other crops as well, with possible slight modifications depending on the crops.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Best4Soils (2020) A network of practioners, for sharing knowledge on prevention and reduction of soil borne diseases. Available at </w:t>
      </w:r>
      <w:hyperlink r:id="rId90226620442a7eae5" w:history="1">
        <w:r>
          <w:rPr>
            <w:rFonts w:ascii="Calibri" w:hAnsi="Calibri" w:eastAsia="Calibri" w:cs="Calibri"/>
            <w:color w:val="0000CC"/>
            <w:sz w:val="22"/>
            <w:szCs w:val="22"/>
            <w:u w:val="single"/>
          </w:rPr>
          <w:t xml:space="preserve">https://www.best4soil.eu/</w:t>
        </w:r>
      </w:hyperlink>
      <w:r>
        <w:rPr>
          <w:rFonts w:ascii="Calibri" w:hAnsi="Calibri" w:eastAsia="Calibri" w:cs="Calibri"/>
          <w:color w:val="000000"/>
          <w:sz w:val="22"/>
          <w:szCs w:val="22"/>
        </w:rPr>
        <w:t xml:space="preserve"> (accessed at 18.12.2020).</w:t>
      </w:r>
    </w:p>
    <w:p>
      <w:pPr>
        <w:widowControl w:val="on"/>
        <w:pBdr/>
        <w:spacing w:before="220" w:after="220" w:line="240" w:lineRule="auto"/>
        <w:ind w:left="0" w:right="0"/>
        <w:jc w:val="left"/>
      </w:pPr>
      <w:r>
        <w:rPr>
          <w:rFonts w:ascii="Calibri" w:hAnsi="Calibri" w:eastAsia="Calibri" w:cs="Calibri"/>
          <w:color w:val="000000"/>
          <w:sz w:val="22"/>
          <w:szCs w:val="22"/>
        </w:rPr>
        <w:t xml:space="preserve">Cuevas OY &amp; Sosa-Moss C (1990) Host plants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states of Tlaxcala and Puebla, Mexico. </w:t>
      </w:r>
      <w:r>
        <w:rPr>
          <w:rFonts w:ascii="Calibri" w:hAnsi="Calibri" w:eastAsia="Calibri" w:cs="Calibri"/>
          <w:i/>
          <w:iCs/>
          <w:color w:val="000000"/>
          <w:sz w:val="22"/>
          <w:szCs w:val="22"/>
        </w:rPr>
        <w:t xml:space="preserve">Current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w:t>
      </w:r>
      <w:r>
        <w:rPr>
          <w:rFonts w:ascii="Calibri" w:hAnsi="Calibri" w:eastAsia="Calibri" w:cs="Calibri"/>
          <w:b/>
          <w:bCs/>
          <w:color w:val="000000"/>
          <w:sz w:val="22"/>
          <w:szCs w:val="22"/>
        </w:rPr>
        <w:t xml:space="preserve">2012</w:t>
      </w:r>
      <w:r>
        <w:rPr>
          <w:rFonts w:ascii="Calibri" w:hAnsi="Calibri" w:eastAsia="Calibri" w:cs="Calibri"/>
          <w:color w:val="000000"/>
          <w:sz w:val="22"/>
          <w:szCs w:val="22"/>
        </w:rPr>
        <w:t xml:space="preserve">, 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EFSA supporting publication EN-1572. DOI:10.2903/sp.efsa.2019.EN-1572</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present in Netherlands.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187.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67266620442a7eddf"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 (2) Commodity-specific phytosanitary measures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 (2)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67136620442a7f1ec"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Ferris H, Carlson HL, Viglierchio DR, Westerdahl BB, Wu FW, Anderson CE, Juurma A &amp; Kirby DW (1994) Host status of selected crops to </w:t>
      </w:r>
      <w:r>
        <w:rPr>
          <w:rFonts w:ascii="Calibri" w:hAnsi="Calibri" w:eastAsia="Calibri" w:cs="Calibri"/>
          <w:i/>
          <w:iCs/>
          <w:color w:val="000000"/>
          <w:sz w:val="22"/>
          <w:szCs w:val="22"/>
        </w:rPr>
        <w:t xml:space="preserve">Meloidogyne chitwoodi.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25 </w:t>
      </w:r>
      <w:r>
        <w:rPr>
          <w:rFonts w:ascii="Calibri" w:hAnsi="Calibri" w:eastAsia="Calibri" w:cs="Calibri"/>
          <w:color w:val="000000"/>
          <w:sz w:val="22"/>
          <w:szCs w:val="22"/>
        </w:rPr>
        <w:t xml:space="preserve">Suppl., 849-857. </w:t>
      </w:r>
    </w:p>
    <w:p>
      <w:pPr>
        <w:widowControl w:val="on"/>
        <w:pBdr/>
        <w:spacing w:before="220" w:after="220" w:line="240" w:lineRule="auto"/>
        <w:ind w:left="0" w:right="0"/>
        <w:jc w:val="left"/>
      </w:pPr>
      <w:r>
        <w:rPr>
          <w:rFonts w:ascii="Calibri" w:hAnsi="Calibri" w:eastAsia="Calibri" w:cs="Calibri"/>
          <w:color w:val="000000"/>
          <w:sz w:val="22"/>
          <w:szCs w:val="22"/>
        </w:rPr>
        <w:t xml:space="preserve">Golden AM, O'Bannon JH, Santo GS &amp; Finley AM (1980) Description and SEM observations of </w:t>
      </w:r>
      <w:r>
        <w:rPr>
          <w:rFonts w:ascii="Calibri" w:hAnsi="Calibri" w:eastAsia="Calibri" w:cs="Calibri"/>
          <w:i/>
          <w:iCs/>
          <w:color w:val="000000"/>
          <w:sz w:val="22"/>
          <w:szCs w:val="22"/>
        </w:rPr>
        <w:t xml:space="preserve">Meloidogyne chitwoodi n. sp</w:t>
      </w:r>
      <w:r>
        <w:rPr>
          <w:rFonts w:ascii="Calibri" w:hAnsi="Calibri" w:eastAsia="Calibri" w:cs="Calibri"/>
          <w:color w:val="000000"/>
          <w:sz w:val="22"/>
          <w:szCs w:val="22"/>
        </w:rPr>
        <w:t xml:space="preserve">. (Meloidogynidae). A root knot nematode on potato in the Pacific Northwest.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319-327. </w:t>
      </w:r>
    </w:p>
    <w:p>
      <w:pPr>
        <w:widowControl w:val="on"/>
        <w:pBdr/>
        <w:spacing w:before="220" w:after="220" w:line="240" w:lineRule="auto"/>
        <w:ind w:left="0" w:right="0"/>
        <w:jc w:val="left"/>
      </w:pPr>
      <w:r>
        <w:rPr>
          <w:rFonts w:ascii="Calibri" w:hAnsi="Calibri" w:eastAsia="Calibri" w:cs="Calibri"/>
          <w:color w:val="000000"/>
          <w:sz w:val="22"/>
          <w:szCs w:val="22"/>
        </w:rPr>
        <w:t xml:space="preserve">Graebner RC, Brown CR, Ingham RE, Hagerty CH, Mojtahedi H, Quick RA, Hamlin LL, Wade N, Bamberg JB &amp; Sathuvalli V (2018) Resistance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identified in wild potato species.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679-686.</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Been TH, Schomaker CH &amp; Teklu MG (2015) Damage thresholds and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at different seed densities.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501-514.</w:t>
      </w:r>
    </w:p>
    <w:p>
      <w:pPr>
        <w:widowControl w:val="on"/>
        <w:pBdr/>
        <w:spacing w:before="220" w:after="220" w:line="240" w:lineRule="auto"/>
        <w:ind w:left="0" w:right="0"/>
        <w:jc w:val="left"/>
      </w:pPr>
      <w:r>
        <w:rPr>
          <w:rFonts w:ascii="Calibri" w:hAnsi="Calibri" w:eastAsia="Calibri" w:cs="Calibri"/>
          <w:color w:val="000000"/>
          <w:sz w:val="22"/>
          <w:szCs w:val="22"/>
        </w:rPr>
        <w:t xml:space="preserve">Hooper DJ (1986) Preserving and staining nematodes in plant tissues. In: Laboratory methods for work with plant and soil nematodes (Ed. by Southey JF). HMSO,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Ingham RE, Hamm PB, Williams RE &amp; Swanson WH (2000) Control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potato with fumigant and nonfumigant nematicides.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556-565.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 hapla </w:t>
      </w:r>
      <w:r>
        <w:rPr>
          <w:rFonts w:ascii="Calibri" w:hAnsi="Calibri" w:eastAsia="Calibri" w:cs="Calibri"/>
          <w:color w:val="000000"/>
          <w:sz w:val="22"/>
          <w:szCs w:val="22"/>
        </w:rPr>
        <w:t xml:space="preserve">andin wild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287-294.</w:t>
      </w:r>
    </w:p>
    <w:p>
      <w:pPr>
        <w:widowControl w:val="on"/>
        <w:pBdr/>
        <w:spacing w:before="220" w:after="220" w:line="240" w:lineRule="auto"/>
        <w:ind w:left="0" w:right="0"/>
        <w:jc w:val="left"/>
      </w:pPr>
      <w:r>
        <w:rPr>
          <w:rFonts w:ascii="Calibri" w:hAnsi="Calibri" w:eastAsia="Calibri" w:cs="Calibri"/>
          <w:color w:val="000000"/>
          <w:sz w:val="22"/>
          <w:szCs w:val="22"/>
        </w:rPr>
        <w:t xml:space="preserve">Khan A, Wesemael W &amp; Moens M (2014) Influence of temperature on the development of the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King BA &amp; Taberna JP Jr (2013) Site-specific management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Idaho potatoes using 1,3-Dichloropropene; approach, experiences, and economics.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202–213.</w:t>
      </w:r>
    </w:p>
    <w:p>
      <w:pPr>
        <w:widowControl w:val="on"/>
        <w:pBdr/>
        <w:spacing w:before="220" w:after="220" w:line="240" w:lineRule="auto"/>
        <w:ind w:left="0" w:right="0"/>
        <w:jc w:val="left"/>
      </w:pPr>
      <w:r>
        <w:rPr>
          <w:rFonts w:ascii="Calibri" w:hAnsi="Calibri" w:eastAsia="Calibri" w:cs="Calibri"/>
          <w:color w:val="000000"/>
          <w:sz w:val="22"/>
          <w:szCs w:val="22"/>
        </w:rPr>
        <w:t xml:space="preserve">Kutywayo V &amp; Been TH (2006) Host status of six major weeds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Pratylenchus penetrans</w:t>
      </w:r>
      <w:r>
        <w:rPr>
          <w:rFonts w:ascii="Calibri" w:hAnsi="Calibri" w:eastAsia="Calibri" w:cs="Calibri"/>
          <w:color w:val="000000"/>
          <w:sz w:val="22"/>
          <w:szCs w:val="22"/>
        </w:rPr>
        <w:t xml:space="preserve">, including a preliminary field survey concerning other weeds.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647-657.</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Santo GS &amp; Wilson JH (1988) Host tests to differentiate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races 1 and 2 and </w:t>
      </w:r>
      <w:r>
        <w:rPr>
          <w:rFonts w:ascii="Calibri" w:hAnsi="Calibri" w:eastAsia="Calibri" w:cs="Calibri"/>
          <w:i/>
          <w:iCs/>
          <w:color w:val="000000"/>
          <w:sz w:val="22"/>
          <w:szCs w:val="22"/>
        </w:rPr>
        <w:t xml:space="preserve">M. hapla. Journal of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468-473.</w:t>
      </w:r>
    </w:p>
    <w:p>
      <w:pPr>
        <w:widowControl w:val="on"/>
        <w:pBdr/>
        <w:spacing w:before="220" w:after="220" w:line="240" w:lineRule="auto"/>
        <w:ind w:left="0" w:right="0"/>
        <w:jc w:val="left"/>
      </w:pPr>
      <w:r>
        <w:rPr>
          <w:rFonts w:ascii="Calibri" w:hAnsi="Calibri" w:eastAsia="Calibri" w:cs="Calibri"/>
          <w:color w:val="000000"/>
          <w:sz w:val="22"/>
          <w:szCs w:val="22"/>
        </w:rPr>
        <w:t xml:space="preserve">Mojtahedi H, Brown CR, Riga E &amp; Zhang LH (2007) A new pathotype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race 1 from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1051.</w:t>
      </w:r>
    </w:p>
    <w:p>
      <w:pPr>
        <w:widowControl w:val="on"/>
        <w:pBdr/>
        <w:spacing w:before="220" w:after="220" w:line="240" w:lineRule="auto"/>
        <w:ind w:left="0" w:right="0"/>
        <w:jc w:val="left"/>
      </w:pPr>
      <w:r>
        <w:rPr>
          <w:rFonts w:ascii="Calibri" w:hAnsi="Calibri" w:eastAsia="Calibri" w:cs="Calibri"/>
          <w:color w:val="000000"/>
          <w:sz w:val="22"/>
          <w:szCs w:val="22"/>
        </w:rPr>
        <w:t xml:space="preserve">O'Bannon JH, Santo GS &amp; Nyczepir AP (1982) Host range of the Columbia root-knot nematode.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1045-1048.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Santo GS &amp; Mojtahedi H (1991) Population dynamics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Russet Burbank potatoes in relation to degree-day accumulation.</w:t>
      </w:r>
      <w:r>
        <w:rPr>
          <w:rFonts w:ascii="Calibri" w:hAnsi="Calibri" w:eastAsia="Calibri" w:cs="Calibri"/>
          <w:i/>
          <w:iCs/>
          <w:color w:val="000000"/>
          <w:sz w:val="22"/>
          <w:szCs w:val="22"/>
        </w:rPr>
        <w:t xml:space="preserve"> Journal of Nematology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283- 290. </w:t>
      </w:r>
    </w:p>
    <w:p>
      <w:pPr>
        <w:widowControl w:val="on"/>
        <w:pBdr/>
        <w:spacing w:before="220" w:after="220" w:line="240" w:lineRule="auto"/>
        <w:ind w:left="0" w:right="0"/>
        <w:jc w:val="left"/>
      </w:pPr>
      <w:r>
        <w:rPr>
          <w:rFonts w:ascii="Calibri" w:hAnsi="Calibri" w:eastAsia="Calibri" w:cs="Calibri"/>
          <w:color w:val="000000"/>
          <w:sz w:val="22"/>
          <w:szCs w:val="22"/>
        </w:rPr>
        <w:t xml:space="preserve">Ploeg A (2008) Biofumigation to manage plant-parasitic nematodes. In: Integrated management and biocontrol of vegetable and grain crops nematodes (Ed. By Ciancio A, Mukerji KG), pp. 239-258. Springer,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O'Bannon JH (1981) Pathogenicity of the Columbia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on wheat, corn, oat and barley.</w:t>
      </w:r>
      <w:r>
        <w:rPr>
          <w:rFonts w:ascii="Calibri" w:hAnsi="Calibri" w:eastAsia="Calibri" w:cs="Calibri"/>
          <w:i/>
          <w:iCs/>
          <w:color w:val="000000"/>
          <w:sz w:val="22"/>
          <w:szCs w:val="22"/>
        </w:rPr>
        <w:t xml:space="preserve">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548-550.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Pinkerton JN (1985) A second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discovered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361.</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&amp; Ponti RP (1985) Host suitability and reaction of bean and pea cultivars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77-79. </w:t>
      </w:r>
    </w:p>
    <w:p>
      <w:pPr>
        <w:widowControl w:val="on"/>
        <w:pBdr/>
        <w:spacing w:before="220" w:after="220" w:line="240" w:lineRule="auto"/>
        <w:ind w:left="0" w:right="0"/>
        <w:jc w:val="left"/>
      </w:pPr>
      <w:r>
        <w:rPr>
          <w:rFonts w:ascii="Calibri" w:hAnsi="Calibri" w:eastAsia="Calibri" w:cs="Calibri"/>
          <w:color w:val="000000"/>
          <w:sz w:val="22"/>
          <w:szCs w:val="22"/>
        </w:rPr>
        <w:t xml:space="preserve">Santo GS, O'Bannon JH, Finley AM &amp; Golden AM (1980) Occurrence and host range of a new root-knot nematode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in the Pacific Northwest.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951-952.</w:t>
      </w:r>
    </w:p>
    <w:p>
      <w:pPr>
        <w:widowControl w:val="on"/>
        <w:pBdr/>
        <w:spacing w:before="220" w:after="220" w:line="240" w:lineRule="auto"/>
        <w:ind w:left="0" w:right="0"/>
        <w:jc w:val="left"/>
      </w:pPr>
      <w:r>
        <w:rPr>
          <w:rFonts w:ascii="Calibri" w:hAnsi="Calibri" w:eastAsia="Calibri" w:cs="Calibri"/>
          <w:color w:val="000000"/>
          <w:sz w:val="22"/>
          <w:szCs w:val="22"/>
        </w:rPr>
        <w:t xml:space="preserve">Teklu MG, Schomaker CH &amp; Been TH (2014) Relative susceptibility of five fodder radish varieties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var. oleiformis)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577-590.</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(1993) Comparison of potato cultivars in relation to their level of external symptoms on tubers caused by </w:t>
      </w:r>
      <w:r>
        <w:rPr>
          <w:rFonts w:ascii="Calibri" w:hAnsi="Calibri" w:eastAsia="Calibri" w:cs="Calibri"/>
          <w:i/>
          <w:iCs/>
          <w:color w:val="000000"/>
          <w:sz w:val="22"/>
          <w:szCs w:val="22"/>
        </w:rPr>
        <w:t xml:space="preserve">Meloidogyne chitwoodi. Mededelingen van de Faculteit Landbouwwetenschappen, 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737-742.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(2020) Enhancing potato resistance against root-knot nematodes using a plant-defence elicitor delivered by bacteria.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625-629.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Johannes Hallmann, Julius Kühn Institute, Federal Research Centre for Cultivated Plants, Messeweg 11/12, 38104 Braunschweig, Germany.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EPPO datasheets on pests recommended for regulation. Available online. </w:t>
      </w:r>
      <w:hyperlink r:id="rId69666620442a7ff9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6958840" name="name82246620442a800f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3046620442a800f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608623">
    <w:multiLevelType w:val="hybridMultilevel"/>
    <w:lvl w:ilvl="0" w:tplc="70115383">
      <w:start w:val="1"/>
      <w:numFmt w:val="decimal"/>
      <w:lvlText w:val="%1."/>
      <w:lvlJc w:val="left"/>
      <w:pPr>
        <w:ind w:left="720" w:hanging="360"/>
      </w:pPr>
    </w:lvl>
    <w:lvl w:ilvl="1" w:tplc="70115383" w:tentative="1">
      <w:start w:val="1"/>
      <w:numFmt w:val="lowerLetter"/>
      <w:lvlText w:val="%2."/>
      <w:lvlJc w:val="left"/>
      <w:pPr>
        <w:ind w:left="1440" w:hanging="360"/>
      </w:pPr>
    </w:lvl>
    <w:lvl w:ilvl="2" w:tplc="70115383" w:tentative="1">
      <w:start w:val="1"/>
      <w:numFmt w:val="lowerRoman"/>
      <w:lvlText w:val="%3."/>
      <w:lvlJc w:val="right"/>
      <w:pPr>
        <w:ind w:left="2160" w:hanging="180"/>
      </w:pPr>
    </w:lvl>
    <w:lvl w:ilvl="3" w:tplc="70115383" w:tentative="1">
      <w:start w:val="1"/>
      <w:numFmt w:val="decimal"/>
      <w:lvlText w:val="%4."/>
      <w:lvlJc w:val="left"/>
      <w:pPr>
        <w:ind w:left="2880" w:hanging="360"/>
      </w:pPr>
    </w:lvl>
    <w:lvl w:ilvl="4" w:tplc="70115383" w:tentative="1">
      <w:start w:val="1"/>
      <w:numFmt w:val="lowerLetter"/>
      <w:lvlText w:val="%5."/>
      <w:lvlJc w:val="left"/>
      <w:pPr>
        <w:ind w:left="3600" w:hanging="360"/>
      </w:pPr>
    </w:lvl>
    <w:lvl w:ilvl="5" w:tplc="70115383" w:tentative="1">
      <w:start w:val="1"/>
      <w:numFmt w:val="lowerRoman"/>
      <w:lvlText w:val="%6."/>
      <w:lvlJc w:val="right"/>
      <w:pPr>
        <w:ind w:left="4320" w:hanging="180"/>
      </w:pPr>
    </w:lvl>
    <w:lvl w:ilvl="6" w:tplc="70115383" w:tentative="1">
      <w:start w:val="1"/>
      <w:numFmt w:val="decimal"/>
      <w:lvlText w:val="%7."/>
      <w:lvlJc w:val="left"/>
      <w:pPr>
        <w:ind w:left="5040" w:hanging="360"/>
      </w:pPr>
    </w:lvl>
    <w:lvl w:ilvl="7" w:tplc="70115383" w:tentative="1">
      <w:start w:val="1"/>
      <w:numFmt w:val="lowerLetter"/>
      <w:lvlText w:val="%8."/>
      <w:lvlJc w:val="left"/>
      <w:pPr>
        <w:ind w:left="5760" w:hanging="360"/>
      </w:pPr>
    </w:lvl>
    <w:lvl w:ilvl="8" w:tplc="70115383" w:tentative="1">
      <w:start w:val="1"/>
      <w:numFmt w:val="lowerRoman"/>
      <w:lvlText w:val="%9."/>
      <w:lvlJc w:val="right"/>
      <w:pPr>
        <w:ind w:left="6480" w:hanging="180"/>
      </w:pPr>
    </w:lvl>
  </w:abstractNum>
  <w:abstractNum w:abstractNumId="60608622">
    <w:multiLevelType w:val="hybridMultilevel"/>
    <w:lvl w:ilvl="0" w:tplc="48578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608622">
    <w:abstractNumId w:val="60608622"/>
  </w:num>
  <w:num w:numId="60608623">
    <w:abstractNumId w:val="6060862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6523816" Type="http://schemas.microsoft.com/office/2011/relationships/commentsExtended" Target="commentsExtended.xml"/><Relationship Id="rId901311330" Type="http://schemas.microsoft.com/office/2011/relationships/people" Target="people.xml"/><Relationship Id="rId56486620442a7aed4" Type="http://schemas.openxmlformats.org/officeDocument/2006/relationships/hyperlink" Target="https://gd.eppo.int/taxon/MELGCH/" TargetMode="External"/><Relationship Id="rId50376620442a7af51" Type="http://schemas.openxmlformats.org/officeDocument/2006/relationships/hyperlink" Target="https://gd.eppo.int/taxon/MELGCH/categorization" TargetMode="External"/><Relationship Id="rId92176620442a7b482" Type="http://schemas.openxmlformats.org/officeDocument/2006/relationships/hyperlink" Target="https://gd.eppo.int/taxon/MELGCH/photos" TargetMode="External"/><Relationship Id="rId90226620442a7eae5" Type="http://schemas.openxmlformats.org/officeDocument/2006/relationships/hyperlink" Target="https://www.best4soil.eu/" TargetMode="External"/><Relationship Id="rId67266620442a7eddf" Type="http://schemas.openxmlformats.org/officeDocument/2006/relationships/hyperlink" Target="https://gd.eppo.int/standards/PM3/" TargetMode="External"/><Relationship Id="rId67136620442a7f1ec" Type="http://schemas.openxmlformats.org/officeDocument/2006/relationships/hyperlink" Target="https://gd.eppo.int/standards/PM3/" TargetMode="External"/><Relationship Id="rId69666620442a7ff9f" Type="http://schemas.openxmlformats.org/officeDocument/2006/relationships/hyperlink" Target="https://gd.eppo.int" TargetMode="External"/><Relationship Id="rId46006620442a7b371" Type="http://schemas.openxmlformats.org/officeDocument/2006/relationships/image" Target="media/imgrId46006620442a7b371.jpg"/><Relationship Id="rId62676620442a7d823" Type="http://schemas.openxmlformats.org/officeDocument/2006/relationships/image" Target="media/imgrId62676620442a7d823.jpg"/><Relationship Id="rId23046620442a800f1" Type="http://schemas.openxmlformats.org/officeDocument/2006/relationships/image" Target="media/imgrId23046620442a800f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