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vredendalensis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vredendalensis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 Klerk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margarodes</w:t>
            </w:r>
            <w:hyperlink r:id="rId37256a6e68fd831f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1476a6e68fd832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MARGVR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348208" name="name89526a6e68fd8331f" descr="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6.jpg"/>
                          <pic:cNvPicPr/>
                        </pic:nvPicPr>
                        <pic:blipFill>
                          <a:blip r:embed="rId31896a6e68fd8331e" cstate="print"/>
                          <a:stretch>
                            <a:fillRect/>
                          </a:stretch>
                        </pic:blipFill>
                        <pic:spPr>
                          <a:xfrm>
                            <a:off x="0" y="0"/>
                            <a:ext cx="2160000" cy="1281600"/>
                          </a:xfrm>
                          <a:prstGeom prst="rect">
                            <a:avLst/>
                          </a:prstGeom>
                          <a:ln w="0">
                            <a:noFill/>
                          </a:ln>
                        </pic:spPr>
                      </pic:pic>
                    </a:graphicData>
                  </a:graphic>
                </wp:inline>
              </w:drawing>
            </w:r>
            <w:hyperlink r:id="rId59016a6e68fd8343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1983;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has only been recorded on the roots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so far (De Klerk, 1983). This would be the host at risk in the EPPO region. It is by no means certain that grapevine is the only cultivated crop that this ground pearl could infest. The indigenous host plants of the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vredendalensis </w:t>
      </w:r>
      <w:r>
        <w:rPr>
          <w:rFonts w:ascii="Calibri" w:hAnsi="Calibri" w:eastAsia="Calibri" w:cs="Calibri"/>
          <w:color w:val="000000"/>
          <w:sz w:val="22"/>
          <w:szCs w:val="22"/>
        </w:rPr>
        <w:t xml:space="preserve">has been recorded only from South Africa where it occurs in the Western Cape province and Northern Olifants River Valley (de Klerk, 1978).</w:t>
      </w:r>
    </w:p>
    <w:p>
      <w:r>
        <w:drawing>
          <wp:inline distT="0" distB="0" distL="0" distR="0">
            <wp:extent cx="6120000" cy="3067200"/>
            <wp:docPr id="82457714" name="name59256a6e68fd84288" descr="MARGV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VR_distribution_map.jpg"/>
                    <pic:cNvPicPr/>
                  </pic:nvPicPr>
                  <pic:blipFill>
                    <a:blip r:embed="rId72026a6e68fd8428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is parthenogenetic, with one generation per year (de Klerk, 1980;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The females live in soil in the zones of greatest root abundance, usually at a depth of 46-60 cm but sometimes as deep as 120 cm. Under laboratory conditions, only 10-16% of the cysts developed into adult females annually, emerging in late summer (January and February) even when cysts were detached from the host plant; in a single population, adult females emerged in four successive years. The average adult female lifespan was 40 days, with oviposition commencing about 15 days after emergence from the cyst and occurring over a period of 18 days. An average of 507 eggs per female were deposited in the soil close to grapevine roots, in a pocket lined with secreted wax filaments. The eggs hatched 34-48 days later, in the autumn (de Klerk, 1980). Newly hatched nymphs disperse through the soil and attach to the rootlets, 0.5-1.2 m below the soil surface, by their mouthparts, to feed; they then become sessile. The legless second-instar nymphal stage lasts for more than a year (de Klerk, 2017) and has two phases: an initial feeding and growing phase, followed by secretion of a protective waxy covering and multiple moults to form a pearl-like, dormant non-feeding cyst resistant to unfavourable conditions. Cysts remain attached to the roots by their long, sucking mouthparts (de Klerk, 2017) and can remain viable in the soil for several years; their maximum longevity is not known. Nor is it known precisely what triggers, or can prevent, cyst formation. The vertical distribution of cysts was directly related to the vertical distribution of roots and had a significant negative correlation with soil moisture and percentage of clay in the soil (de Klerk,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approximately 0.6 mm long, smooth, glossy-white, elongate-ovoid and slightly curved, with one end more bluntly pointed than the other (EPPO, 2007).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approximately 1 mm long, with antennae and legs clearly visible under the dissection microscope. The second-instar cysts (ground pearls) are up to 8.6 mm in diameter, approximately spherical, light to dark brown, thick-walled and very hard, with a warty surface texture (de Klerk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1982; de Klerk 2017). When the hard outer layers are removed, the insect within is yellow.</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ovoid yellow adult females of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vary considerably in size (up to 10 mm long and 5 mm wide), with soft deeply segmented bodies densely covered with long hair-like setae; they have characteristic enlarged fossorial (digging) forelegs with dark-brown claws. An adult female lives up to 49 days, dying soon after oviposition (de Klerk, 1980). In slide-mounted adult females the body spines are not bulbous, and are all of similar size; there are seven pairs of abdominal spiracles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1983; Watson, 2022). For detailed morphological descriptions of the immature and adult female stages, see Jakubski (1965)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1983).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and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from this country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to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Adult female</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never appear at the soil surface because they do not need to mate (de Klerk, 2017). Investigation involves digging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may be responsible for the damage. If root galls are not found, the inspection should look for light to dark brown spherical cysts up to 8.6 mm in diameter with a warty surface texture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de Klerk, 2017). Cysts on roots or free in the soil are present throughout the year and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The EPPO diagnostic protocol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also provides detection and identification methods based on Morphology (EPPO, 2007; see also Morphology).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extremely limited due to the subterranean habit of the insect; the first 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ground pearls are increasingly serious pests of vineyards in Northern South Africa, where grapevines are grown to produce table grapes, wine and dried fruits. Infestation of vines stressed by drought or nematode infestation can result in them dying in patches. In the case of the related species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some vineyards have been completely destroyed (de Klerk, 1980; Swart &amp; de Klerk, 1986). Ground pearls devitalize the host directly by sap and nutrient depletion and probably by injecting toxins, and vines sometimes die within five or six years (de Klerk, 2017). The pest is difficult to control due to its subterranean habit and even after an interval of several years, vineyards replanted in infested soils are readily reinfested. Infested land may become permanently unsuitable for commercial vineyard cultivation (de Klerk, 1980).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1980),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vredendalensis </w:t>
      </w:r>
      <w:r>
        <w:rPr>
          <w:rFonts w:ascii="Calibri" w:hAnsi="Calibri" w:eastAsia="Calibri" w:cs="Calibri"/>
          <w:color w:val="000000"/>
          <w:sz w:val="22"/>
          <w:szCs w:val="22"/>
        </w:rPr>
        <w:t xml:space="preserve">occurs in South Africa around the towns of Vredendal, Lutzville and Van Rhynsdorp, in hot arid (Köppen-Geiger climate type Bwh) and cold arid (Bwk) desert regions, where horticulture depends on irrigation from the Olifants River (E. Allsopp, pers. comm., ARC Infruitec-Nietvoorbij, 2022).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would be able to establish in the EPPO region (EFSA, 2019), particularly in drier Mediterranean areas (E. Allsopp, pers. comm., ARC Infruitec-Nietvoorbij, 2022).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vredendalensis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72576a6e68fd84fe7"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74956a6e68fd8509c"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w:t>
      </w:r>
      <w:r>
        <w:rPr>
          <w:rFonts w:ascii="Calibri" w:hAnsi="Calibri" w:eastAsia="Calibri" w:cs="Calibri"/>
          <w:color w:val="000000"/>
          <w:sz w:val="22"/>
          <w:szCs w:val="22"/>
        </w:rPr>
        <w:t xml:space="preserve">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48366a6e68fd8513f"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 330–349. Available from: </w:t>
      </w:r>
      <w:hyperlink r:id="rId65176a6e68fd851e0"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58996a6e68fd85232"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 (N.S.)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Giliomee J, de Klerk C &amp; Watson GW (2022 in press) 3.3.4 Margarodes spp. In: Encyclopedia of Scale Insect Pests (Eds Kondo T &amp; Watson GW), pp. 69-73. CAB International, Wallingford (UK).Jakubski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 British Museum (Natural History),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Margarodidea),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de Klerk (Coccoidea: Margarodidae)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 Available at </w:t>
      </w:r>
      <w:hyperlink r:id="rId33396a6e68fd85397" w:history="1">
        <w:r>
          <w:rPr>
            <w:rFonts w:ascii="Calibri" w:hAnsi="Calibri" w:eastAsia="Calibri" w:cs="Calibri"/>
            <w:color w:val="0000CC"/>
            <w:sz w:val="22"/>
            <w:szCs w:val="22"/>
            <w:u w:val="single"/>
          </w:rPr>
          <w:t xml:space="preserve">https://doi.org/10.21548/1-1-2413</w:t>
        </w:r>
      </w:hyperlink>
      <w:r>
        <w:rPr>
          <w:rFonts w:ascii="Calibri" w:hAnsi="Calibri" w:eastAsia="Calibri" w:cs="Calibri"/>
          <w:color w:val="000000"/>
          <w:sz w:val="22"/>
          <w:szCs w:val="22"/>
        </w:rPr>
        <w:t xml:space="preserve"> (accessed 4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(1983) Two new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65676a6e68fd854ec"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Swart PL &amp; de Klerk CA (1986) Scale insects. In: </w:t>
      </w:r>
      <w:r>
        <w:rPr>
          <w:rFonts w:ascii="Calibri" w:hAnsi="Calibri" w:eastAsia="Calibri" w:cs="Calibri"/>
          <w:i/>
          <w:iCs/>
          <w:color w:val="000000"/>
          <w:sz w:val="22"/>
          <w:szCs w:val="22"/>
        </w:rPr>
        <w:t xml:space="preserve">Crop pests of Southern Africa. Bulletin 407, Vol. 1. Deciduous fruit, grapes and berries</w:t>
      </w:r>
      <w:r>
        <w:rPr>
          <w:rFonts w:ascii="Calibri" w:hAnsi="Calibri" w:eastAsia="Calibri" w:cs="Calibri"/>
          <w:color w:val="000000"/>
          <w:sz w:val="22"/>
          <w:szCs w:val="22"/>
        </w:rPr>
        <w:t xml:space="preserve"> (Ed. by Myburgh, A.C.), 92 pp. Department of Agriculture and Water Supply,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Gillian W. Watson, Natural History Museum, London,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EPPO datasheets on pests recommended for regulation. Available online. </w:t>
      </w:r>
      <w:hyperlink r:id="rId70886a6e68fd8574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429175" name="name68666a6e68fd8584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5126a6e68fd8584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064031">
    <w:multiLevelType w:val="hybridMultilevel"/>
    <w:lvl w:ilvl="0" w:tplc="69593359">
      <w:start w:val="1"/>
      <w:numFmt w:val="decimal"/>
      <w:lvlText w:val="%1."/>
      <w:lvlJc w:val="left"/>
      <w:pPr>
        <w:ind w:left="720" w:hanging="360"/>
      </w:pPr>
    </w:lvl>
    <w:lvl w:ilvl="1" w:tplc="69593359" w:tentative="1">
      <w:start w:val="1"/>
      <w:numFmt w:val="lowerLetter"/>
      <w:lvlText w:val="%2."/>
      <w:lvlJc w:val="left"/>
      <w:pPr>
        <w:ind w:left="1440" w:hanging="360"/>
      </w:pPr>
    </w:lvl>
    <w:lvl w:ilvl="2" w:tplc="69593359" w:tentative="1">
      <w:start w:val="1"/>
      <w:numFmt w:val="lowerRoman"/>
      <w:lvlText w:val="%3."/>
      <w:lvlJc w:val="right"/>
      <w:pPr>
        <w:ind w:left="2160" w:hanging="180"/>
      </w:pPr>
    </w:lvl>
    <w:lvl w:ilvl="3" w:tplc="69593359" w:tentative="1">
      <w:start w:val="1"/>
      <w:numFmt w:val="decimal"/>
      <w:lvlText w:val="%4."/>
      <w:lvlJc w:val="left"/>
      <w:pPr>
        <w:ind w:left="2880" w:hanging="360"/>
      </w:pPr>
    </w:lvl>
    <w:lvl w:ilvl="4" w:tplc="69593359" w:tentative="1">
      <w:start w:val="1"/>
      <w:numFmt w:val="lowerLetter"/>
      <w:lvlText w:val="%5."/>
      <w:lvlJc w:val="left"/>
      <w:pPr>
        <w:ind w:left="3600" w:hanging="360"/>
      </w:pPr>
    </w:lvl>
    <w:lvl w:ilvl="5" w:tplc="69593359" w:tentative="1">
      <w:start w:val="1"/>
      <w:numFmt w:val="lowerRoman"/>
      <w:lvlText w:val="%6."/>
      <w:lvlJc w:val="right"/>
      <w:pPr>
        <w:ind w:left="4320" w:hanging="180"/>
      </w:pPr>
    </w:lvl>
    <w:lvl w:ilvl="6" w:tplc="69593359" w:tentative="1">
      <w:start w:val="1"/>
      <w:numFmt w:val="decimal"/>
      <w:lvlText w:val="%7."/>
      <w:lvlJc w:val="left"/>
      <w:pPr>
        <w:ind w:left="5040" w:hanging="360"/>
      </w:pPr>
    </w:lvl>
    <w:lvl w:ilvl="7" w:tplc="69593359" w:tentative="1">
      <w:start w:val="1"/>
      <w:numFmt w:val="lowerLetter"/>
      <w:lvlText w:val="%8."/>
      <w:lvlJc w:val="left"/>
      <w:pPr>
        <w:ind w:left="5760" w:hanging="360"/>
      </w:pPr>
    </w:lvl>
    <w:lvl w:ilvl="8" w:tplc="69593359" w:tentative="1">
      <w:start w:val="1"/>
      <w:numFmt w:val="lowerRoman"/>
      <w:lvlText w:val="%9."/>
      <w:lvlJc w:val="right"/>
      <w:pPr>
        <w:ind w:left="6480" w:hanging="180"/>
      </w:pPr>
    </w:lvl>
  </w:abstractNum>
  <w:abstractNum w:abstractNumId="86064030">
    <w:multiLevelType w:val="hybridMultilevel"/>
    <w:lvl w:ilvl="0" w:tplc="928690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064030">
    <w:abstractNumId w:val="86064030"/>
  </w:num>
  <w:num w:numId="86064031">
    <w:abstractNumId w:val="8606403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9159928" Type="http://schemas.microsoft.com/office/2011/relationships/commentsExtended" Target="commentsExtended.xml"/><Relationship Id="rId463054716" Type="http://schemas.microsoft.com/office/2011/relationships/people" Target="people.xml"/><Relationship Id="rId37256a6e68fd831fa" Type="http://schemas.openxmlformats.org/officeDocument/2006/relationships/hyperlink" Target="https://gd.eppo.int/taxon/MARGVR/" TargetMode="External"/><Relationship Id="rId11476a6e68fd83262" Type="http://schemas.openxmlformats.org/officeDocument/2006/relationships/hyperlink" Target="https://gd.eppo.int/taxon/MARGVR/categorization" TargetMode="External"/><Relationship Id="rId59016a6e68fd8343a" Type="http://schemas.openxmlformats.org/officeDocument/2006/relationships/hyperlink" Target="https://gd.eppo.int/taxon/MARGVR/photos" TargetMode="External"/><Relationship Id="rId72576a6e68fd84fe7" Type="http://schemas.openxmlformats.org/officeDocument/2006/relationships/hyperlink" Target="https://efsa.onlinelibrary.wiley.com/doi/epdf/10.2903/j.efsa.2019.5672" TargetMode="External"/><Relationship Id="rId74956a6e68fd8509c" Type="http://schemas.openxmlformats.org/officeDocument/2006/relationships/hyperlink" Target="https://gd.eppo.int/download/standard/206/pm7-082-1-en.pdf" TargetMode="External"/><Relationship Id="rId48366a6e68fd8513f" Type="http://schemas.openxmlformats.org/officeDocument/2006/relationships/hyperlink" Target="https://onlinelibrary.wiley.com/doi/epdf/10.1111/epp.12340" TargetMode="External"/><Relationship Id="rId65176a6e68fd851e0" Type="http://schemas.openxmlformats.org/officeDocument/2006/relationships/hyperlink" Target="https://gd.eppo.int/download/standard/738/pm3-085-1-en.pdf" TargetMode="External"/><Relationship Id="rId58996a6e68fd85232" Type="http://schemas.openxmlformats.org/officeDocument/2006/relationships/hyperlink" Target="https://eur-lex.europa.eu/legal-content/EN/TXT/?uri=CELEX%3A32019R2072" TargetMode="External"/><Relationship Id="rId33396a6e68fd85397" Type="http://schemas.openxmlformats.org/officeDocument/2006/relationships/hyperlink" Target="https://doi.org/10.21548/1-1-2413" TargetMode="External"/><Relationship Id="rId65676a6e68fd854ec" Type="http://schemas.openxmlformats.org/officeDocument/2006/relationships/hyperlink" Target="https://www.wineland.co.za/identification-control-management-grapevine-margarodes/" TargetMode="External"/><Relationship Id="rId70886a6e68fd85742" Type="http://schemas.openxmlformats.org/officeDocument/2006/relationships/hyperlink" Target="https://gd.eppo.int" TargetMode="External"/><Relationship Id="rId31896a6e68fd8331e" Type="http://schemas.openxmlformats.org/officeDocument/2006/relationships/image" Target="media/imgrId31896a6e68fd8331e.jpg"/><Relationship Id="rId72026a6e68fd84285" Type="http://schemas.openxmlformats.org/officeDocument/2006/relationships/image" Target="media/imgrId72026a6e68fd84285.jpg"/><Relationship Id="rId85126a6e68fd8584c" Type="http://schemas.openxmlformats.org/officeDocument/2006/relationships/image" Target="media/imgrId85126a6e68fd8584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