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vitis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vitis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(Philippi)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Coccionella vitis</w:t>
            </w:r>
            <w:r>
              <w:rPr>
                <w:rFonts w:ascii="Calibri" w:hAnsi="Calibri" w:eastAsia="Calibri" w:cs="Calibri"/>
                <w:color w:val="000000"/>
                <w:position w:val="-3"/>
                <w:sz w:val="22"/>
                <w:szCs w:val="22"/>
              </w:rPr>
              <w:t xml:space="preserve"> (Philippi), </w:t>
            </w:r>
            <w:r>
              <w:rPr>
                <w:rFonts w:ascii="Calibri" w:hAnsi="Calibri" w:eastAsia="Calibri" w:cs="Calibri"/>
                <w:i/>
                <w:iCs/>
                <w:color w:val="000000"/>
                <w:position w:val="-3"/>
                <w:sz w:val="22"/>
                <w:szCs w:val="22"/>
              </w:rPr>
              <w:t xml:space="preserve">Margarodes vitium</w:t>
            </w:r>
            <w:r>
              <w:rPr>
                <w:rFonts w:ascii="Calibri" w:hAnsi="Calibri" w:eastAsia="Calibri" w:cs="Calibri"/>
                <w:color w:val="000000"/>
                <w:position w:val="-3"/>
                <w:sz w:val="22"/>
                <w:szCs w:val="22"/>
              </w:rPr>
              <w:t xml:space="preserve"> Giard, </w:t>
            </w:r>
            <w:r>
              <w:rPr>
                <w:rFonts w:ascii="Calibri" w:hAnsi="Calibri" w:eastAsia="Calibri" w:cs="Calibri"/>
                <w:i/>
                <w:iCs/>
                <w:color w:val="000000"/>
                <w:position w:val="-3"/>
                <w:sz w:val="22"/>
                <w:szCs w:val="22"/>
              </w:rPr>
              <w:t xml:space="preserve">Sphaeraspis vitis</w:t>
            </w:r>
            <w:r>
              <w:rPr>
                <w:rFonts w:ascii="Calibri" w:hAnsi="Calibri" w:eastAsia="Calibri" w:cs="Calibri"/>
                <w:color w:val="000000"/>
                <w:position w:val="-3"/>
                <w:sz w:val="22"/>
                <w:szCs w:val="22"/>
              </w:rPr>
              <w:t xml:space="preserve"> (Philippi)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margarodes</w:t>
            </w:r>
            <w:hyperlink r:id="rId46306ac45f529113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8406ac45f529119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202935" name="name90926ac45f529182a" descr="14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91.jpg"/>
                          <pic:cNvPicPr/>
                        </pic:nvPicPr>
                        <pic:blipFill>
                          <a:blip r:embed="rId62576ac45f5291828" cstate="print"/>
                          <a:stretch>
                            <a:fillRect/>
                          </a:stretch>
                        </pic:blipFill>
                        <pic:spPr>
                          <a:xfrm>
                            <a:off x="0" y="0"/>
                            <a:ext cx="2160000" cy="1281600"/>
                          </a:xfrm>
                          <a:prstGeom prst="rect">
                            <a:avLst/>
                          </a:prstGeom>
                          <a:ln w="0">
                            <a:noFill/>
                          </a:ln>
                        </pic:spPr>
                      </pic:pic>
                    </a:graphicData>
                  </a:graphic>
                </wp:inline>
              </w:drawing>
            </w:r>
            <w:hyperlink r:id="rId39806ac45f529195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w:t>
      </w: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(Philippi) occurs in South America. The other five species are found in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The North American ground pearl species that used to be called </w:t>
      </w:r>
      <w:r>
        <w:rPr>
          <w:rFonts w:ascii="Calibri" w:hAnsi="Calibri" w:eastAsia="Calibri" w:cs="Calibri"/>
          <w:i/>
          <w:iCs/>
          <w:color w:val="000000"/>
          <w:sz w:val="22"/>
          <w:szCs w:val="22"/>
        </w:rPr>
        <w:t xml:space="preserve">Margarodes meridionalis </w:t>
      </w:r>
      <w:r>
        <w:rPr>
          <w:rFonts w:ascii="Calibri" w:hAnsi="Calibri" w:eastAsia="Calibri" w:cs="Calibri"/>
          <w:color w:val="000000"/>
          <w:sz w:val="22"/>
          <w:szCs w:val="22"/>
        </w:rPr>
        <w:t xml:space="preserve">Morrison is now</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known as </w:t>
      </w:r>
      <w:r>
        <w:rPr>
          <w:rFonts w:ascii="Calibri" w:hAnsi="Calibri" w:eastAsia="Calibri" w:cs="Calibri"/>
          <w:i/>
          <w:iCs/>
          <w:color w:val="000000"/>
          <w:sz w:val="22"/>
          <w:szCs w:val="22"/>
        </w:rPr>
        <w:t xml:space="preserve">Dimargarodes meridionalis </w:t>
      </w:r>
      <w:r>
        <w:rPr>
          <w:rFonts w:ascii="Calibri" w:hAnsi="Calibri" w:eastAsia="Calibri" w:cs="Calibri"/>
          <w:color w:val="000000"/>
          <w:sz w:val="22"/>
          <w:szCs w:val="22"/>
        </w:rPr>
        <w:t xml:space="preserve">(Morrison).</w:t>
      </w:r>
    </w:p>
    <w:p>
      <w:pPr>
        <w:widowControl w:val="on"/>
        <w:pBdr/>
        <w:spacing w:before="220" w:after="220" w:line="240" w:lineRule="auto"/>
        <w:ind w:left="0" w:right="0"/>
        <w:jc w:val="both"/>
      </w:pPr>
      <w:r>
        <w:rPr>
          <w:rFonts w:ascii="Calibri" w:hAnsi="Calibri" w:eastAsia="Calibri" w:cs="Calibri"/>
          <w:color w:val="000000"/>
          <w:sz w:val="22"/>
          <w:szCs w:val="22"/>
        </w:rPr>
        <w:t xml:space="preserve">The cyst stage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was first described as a nematode, </w:t>
      </w:r>
      <w:r>
        <w:rPr>
          <w:rFonts w:ascii="Calibri" w:hAnsi="Calibri" w:eastAsia="Calibri" w:cs="Calibri"/>
          <w:i/>
          <w:iCs/>
          <w:color w:val="000000"/>
          <w:sz w:val="22"/>
          <w:szCs w:val="22"/>
        </w:rPr>
        <w:t xml:space="preserve">Heterodera vitis</w:t>
      </w:r>
      <w:r>
        <w:rPr>
          <w:rFonts w:ascii="Calibri" w:hAnsi="Calibri" w:eastAsia="Calibri" w:cs="Calibri"/>
          <w:color w:val="000000"/>
          <w:sz w:val="22"/>
          <w:szCs w:val="22"/>
        </w:rPr>
        <w:t xml:space="preserve"> Philippi, and only later as an insect, </w:t>
      </w:r>
      <w:r>
        <w:rPr>
          <w:rFonts w:ascii="Calibri" w:hAnsi="Calibri" w:eastAsia="Calibri" w:cs="Calibri"/>
          <w:i/>
          <w:iCs/>
          <w:color w:val="000000"/>
          <w:sz w:val="22"/>
          <w:szCs w:val="22"/>
        </w:rPr>
        <w:t xml:space="preserve">Margarodes vitium</w:t>
      </w:r>
      <w:r>
        <w:rPr>
          <w:rFonts w:ascii="Calibri" w:hAnsi="Calibri" w:eastAsia="Calibri" w:cs="Calibri"/>
          <w:color w:val="000000"/>
          <w:sz w:val="22"/>
          <w:szCs w:val="22"/>
        </w:rPr>
        <w:t xml:space="preserve"> Giard. It is often referred to by the latter name in publications from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vitis </w:t>
      </w:r>
      <w:r>
        <w:rPr>
          <w:rFonts w:ascii="Calibri" w:hAnsi="Calibri" w:eastAsia="Calibri" w:cs="Calibri"/>
          <w:color w:val="000000"/>
          <w:sz w:val="22"/>
          <w:szCs w:val="22"/>
        </w:rPr>
        <w:t xml:space="preserve">is polyphagous, feeding only on the roots of wild plants and weeds belonging to the families Apiaceae, Asteraceae, Casuarinaceae, Convolvulaceae, Euphorbiaceae, Fabaceae, Linaceae, Malvaceae, Nyctaginaceae, Poaceae, Polygonaceae, Rosaceae, Verbenaceae and Vitaceae.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is the principal, economically significant host, and this would be the host at risk in the EPPO region. Other cultivated hosts have been recorded in Cactaceae (</w:t>
      </w:r>
      <w:r>
        <w:rPr>
          <w:rFonts w:ascii="Calibri" w:hAnsi="Calibri" w:eastAsia="Calibri" w:cs="Calibri"/>
          <w:i/>
          <w:iCs/>
          <w:color w:val="000000"/>
          <w:sz w:val="22"/>
          <w:szCs w:val="22"/>
        </w:rPr>
        <w:t xml:space="preserve">Opuntia</w:t>
      </w:r>
      <w:r>
        <w:rPr>
          <w:rFonts w:ascii="Calibri" w:hAnsi="Calibri" w:eastAsia="Calibri" w:cs="Calibri"/>
          <w:color w:val="000000"/>
          <w:sz w:val="22"/>
          <w:szCs w:val="22"/>
        </w:rPr>
        <w:t xml:space="preserve"> sp.) and Rhamnaceae (</w:t>
      </w:r>
      <w:r>
        <w:rPr>
          <w:rFonts w:ascii="Calibri" w:hAnsi="Calibri" w:eastAsia="Calibri" w:cs="Calibri"/>
          <w:i/>
          <w:iCs/>
          <w:color w:val="000000"/>
          <w:sz w:val="22"/>
          <w:szCs w:val="22"/>
        </w:rPr>
        <w:t xml:space="preserve">Colletia spinosissima</w:t>
      </w:r>
      <w:r>
        <w:rPr>
          <w:rFonts w:ascii="Calibri" w:hAnsi="Calibri" w:eastAsia="Calibri" w:cs="Calibri"/>
          <w:color w:val="000000"/>
          <w:sz w:val="22"/>
          <w:szCs w:val="22"/>
        </w:rPr>
        <w:t xml:space="preserve">) (González, 1989). </w:t>
      </w: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is also recorded as a pest of tung (</w:t>
      </w:r>
      <w:r>
        <w:rPr>
          <w:rFonts w:ascii="Calibri" w:hAnsi="Calibri" w:eastAsia="Calibri" w:cs="Calibri"/>
          <w:i/>
          <w:iCs/>
          <w:color w:val="000000"/>
          <w:sz w:val="22"/>
          <w:szCs w:val="22"/>
        </w:rPr>
        <w:t xml:space="preserve">Aleurites</w:t>
      </w:r>
      <w:r>
        <w:rPr>
          <w:rFonts w:ascii="Calibri" w:hAnsi="Calibri" w:eastAsia="Calibri" w:cs="Calibri"/>
          <w:color w:val="000000"/>
          <w:sz w:val="22"/>
          <w:szCs w:val="22"/>
        </w:rPr>
        <w:t xml:space="preserve"> sp., Euphorbiaceae) in Brazil (Mariconi &amp; Zamith, 1973). Among the other genera on which it has been recorded, the following are of significance to the EPPO region: </w:t>
      </w:r>
      <w:r>
        <w:rPr>
          <w:rFonts w:ascii="Calibri" w:hAnsi="Calibri" w:eastAsia="Calibri" w:cs="Calibri"/>
          <w:i/>
          <w:iCs/>
          <w:color w:val="000000"/>
          <w:sz w:val="22"/>
          <w:szCs w:val="22"/>
        </w:rPr>
        <w:t xml:space="preserve">Arachis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(Jakubski, 1965).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Aleurites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Cactaceae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Colletia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Fabaceae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Nyctaginaceae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Polygalaceae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 subsp. pyrenaicus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Tilioideae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vitis </w:t>
      </w:r>
      <w:r>
        <w:rPr>
          <w:rFonts w:ascii="Calibri" w:hAnsi="Calibri" w:eastAsia="Calibri" w:cs="Calibri"/>
          <w:color w:val="000000"/>
          <w:sz w:val="22"/>
          <w:szCs w:val="22"/>
        </w:rPr>
        <w:t xml:space="preserve">is only known from South America. It was originally described from Chile and has since been recorded from Argentina, Brazil, Paraguay, Uruguay and Venezuela.</w:t>
      </w:r>
    </w:p>
    <w:p>
      <w:r>
        <w:drawing>
          <wp:inline distT="0" distB="0" distL="0" distR="0">
            <wp:extent cx="6120000" cy="3067200"/>
            <wp:docPr id="91022840" name="name31076ac45f5292c8b" descr="MARG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VI_distribution_map.jpg"/>
                    <pic:cNvPicPr/>
                  </pic:nvPicPr>
                  <pic:blipFill>
                    <a:blip r:embed="rId11966ac45f5292c8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(Maranhao, Rio Grande do Sul, Santa Catarina), Chile, Paraguay,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is a subterranean species that feeds on roots usually at a depth of 20-60 cm, but it can occur at depths of up to 120 cm. According to Foldi &amp; Soria (1989),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parthenogenetic (However, see note on rare exception described below) and remains in the soil all year. Adult females occur in the soil around the host’s roots in late spring and early summer (between October and December). Adult females lack mouthparts and cannot feed; each female lays between 150 and 900 eggs (depending on body size) in long strings into an ovisac of white wax filaments near the roots in summer (these ovisacs can be found in the soil between November and February). Newly hatched first-instar nymphs have legs; they find and attach to the roots by their mouthparts to feed, then become sessile. The subsequent cyst stage remains attached by its mouthparts and undergoes two moults within the ground pearl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feeding and growing after each moult before becoming dormant again (González, 1983). Dormant cysts can survive in the soil for many years (González, 1983;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Each year, adult females emerge from some of the cysts lying dormant in the soil and go on to reproduce. The life cycle from egg to adult takes at least 3 years (Foldi &amp; Soria, 1989). </w:t>
      </w:r>
    </w:p>
    <w:p>
      <w:pPr>
        <w:widowControl w:val="on"/>
        <w:pBdr/>
        <w:spacing w:before="220" w:after="220" w:line="240" w:lineRule="auto"/>
        <w:ind w:left="0" w:right="0"/>
        <w:jc w:val="both"/>
      </w:pPr>
      <w:r>
        <w:rPr>
          <w:rFonts w:ascii="Calibri" w:hAnsi="Calibri" w:eastAsia="Calibri" w:cs="Calibri"/>
          <w:color w:val="000000"/>
          <w:sz w:val="22"/>
          <w:szCs w:val="22"/>
        </w:rPr>
        <w:t xml:space="preserve">Jakubski (1965) described adult males, which are very rare, live for up to 14 days and appear for a short time above ground to mate. It is not known whether the rare production of males might indicate the presence of a sexual biotype or an unidentified cryptic species, or not. Mating would be expected to occur on the soil surface in early summer (between mid-November and the end of December).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 vitis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Vines infested with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damage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Pylloxeridae) but in the case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photographic evidence (from Dr Arnaldo Rodriguez, ConoSur vineyards &amp; winery, Administrador Fundo Santa Elisa, Chimbarongo, Chile), the eggs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are produced in long strings, with the eggs stuck together by their narrow ends. Newly laid eggs are elongate-ovoid, each approximately 0.6 mm long, smooth, creamy white and lightly coated with fine white wax filaments.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photographic evidence (see above), first-instar nymphs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are long and narrow, creamy white, each approximately 1 mm long, with antennae and legs clearly visible. The subsequent cyst stage is broadly ovoid to spherical, lacks legs, has very small antennae and is enclosed in an ovoid, hard, pale to mid-brown test, up to 7 mm long and 4-5 mm in diameter (EPPO, 2007). The light yellow to red-brown cyst (Foldi, 2005; EPPO, 2007) has a rough, scaly outer wall (EPPO, 2007;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When the hard outer layer is removed, the insect within is pale creamy yellow (EPPO,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females are ovoid and very variable in size, up to 10 mm long and 5 mm wide, pale creamy yellow, with soft, deeply segmented bodies densely covered with long brown hair-like setae. They have characteristic enlarged fossorial (digging) forelegs with dark-brown claws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The males described by Jakubski (1965), if conspecific with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are extremely rare and probably about 3.8-4.4 mm long, with long antennae, legs, a single pair of wings and probably a tail tuft of white wax filaments.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involves detailed microscopic study of the adult females and/or cysts by a scale insect specialist. Prior to identification, specimens may be preserved in 75% ethanol. A slide-mounted adult female has numerous spines on metathorax and abdomen, progressively denser towards apex of abdomen, with each spine enlarged apically (EPPO, 2007;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detailed morphological descriptions and illustrations, see Jakubski (1965) and Foldi &amp; Soria (1989), as well as the EPPO diagnostic protocol (EPPO, 2007);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provide photographs.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The parthenogenetic females remain underground all year. Further investigation involves digging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may be responsible for the damage. If root galls are not found, the inspection should look for dull, pale yellow to red-brown ovoid cysts up to 7.0 mm long with a dull, scaly surface. The cysts are present throughout the year on roots or lying free in the soil and are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have been developed (EPPO, 2018).  The EPPO diagnostic protocol for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also provides detection and identification methods based on Morphology (EPPO, 2007; see also Morphology).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limited due to the subterranean habit of the insect; the first-instar crawlers and burrowing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or other plants for planting (when moved with roots and soil attached) and/or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An infestation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devitalizes the host plant directly by sap depletion and probably by injecting toxins, damaging the roots which results in gradual decline, chlorosis, dieback and ultimately death in conditions of stress (Anonymous, 2016;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This ground pearl is of great economic importance in South America, causing severe damage to grapevines, especially in Chile where it is the most important pest in the central grapevine-growing region. Approximately 600 ha of vineyards are infested in Chile (Olalquiaga Fauré &amp; Contesse Pinto, 1959), with up to 31 cysts per litre of soil causing quite extensive damage (Barnes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1969). Significant damage is also done to grapevines in Argentina, Uruguay and Venezuela (González, 1983). </w:t>
      </w: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is also a pest of tung (</w:t>
      </w:r>
      <w:r>
        <w:rPr>
          <w:rFonts w:ascii="Calibri" w:hAnsi="Calibri" w:eastAsia="Calibri" w:cs="Calibri"/>
          <w:i/>
          <w:iCs/>
          <w:color w:val="000000"/>
          <w:sz w:val="22"/>
          <w:szCs w:val="22"/>
        </w:rPr>
        <w:t xml:space="preserve">Aleurites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Brazil (Mariconi &amp; Zamith, 1973).</w:t>
      </w:r>
    </w:p>
    <w:p>
      <w:pPr>
        <w:widowControl w:val="on"/>
        <w:pBdr/>
        <w:spacing w:before="220" w:after="220" w:line="240" w:lineRule="auto"/>
        <w:ind w:left="0" w:right="0"/>
        <w:jc w:val="both"/>
      </w:pPr>
      <w:r>
        <w:rPr>
          <w:rFonts w:ascii="Calibri" w:hAnsi="Calibri" w:eastAsia="Calibri" w:cs="Calibri"/>
          <w:color w:val="000000"/>
          <w:sz w:val="22"/>
          <w:szCs w:val="22"/>
        </w:rPr>
        <w:t xml:space="preserve">Ground pearls are difficult to control and vineyards that are replanted in infested soils are readily reinfested, even after an interval of several years. In South Africa, other ground pearl species similar to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are increasingly serious pests of vineyards, resulting in vines dying in patches and some vineyards being completely destroyed (de Klerk, 1980; Swart &amp; de Klerk, 1986). The soil may become permanently unsuitable for commercial grapevine cultivation (de Klerk,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enemies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have not been documented. This ground pearl used to be controlled by flooding vineyards at the times of adult emergence (November to December) and hatching of young larvae (February), with repeated treatments over several years until no viable cysts remained (Galet, 1982). However, this method has practical limitations, tends to favour weeds and is of variable effectiveness.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available regarding grapevine varietal resistance to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Africa, no vine rootstock resistance to the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has been found, although many European and American varieties have been tested (de Klerk, 2017), and at present, pesticide application is the only method of control. This presents technical problems because the target insects are underground. </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effective control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has been obtained using neonicotinoid pesticides (thiamethozam or imidacloprid) as a soil application shortly after harvest, when the annual population of new cysts starts feeding and translocation in vines is still active (de Klerk, 2010). These are systemic insecticides, and the time of application has to be managed very strictly to avoid residues in the grapes. Follow-up treatments are essential, as only a certain proportion of cysts develop into females in a season and dormant cysts survive the treatment.</w:t>
      </w:r>
    </w:p>
    <w:p>
      <w:pPr>
        <w:widowControl w:val="on"/>
        <w:pBdr/>
        <w:spacing w:before="220" w:after="220" w:line="240" w:lineRule="auto"/>
        <w:ind w:left="0" w:right="0"/>
        <w:jc w:val="both"/>
      </w:pPr>
      <w:r>
        <w:rPr>
          <w:rFonts w:ascii="Calibri" w:hAnsi="Calibri" w:eastAsia="Calibri" w:cs="Calibri"/>
          <w:color w:val="000000"/>
          <w:sz w:val="22"/>
          <w:szCs w:val="22"/>
        </w:rPr>
        <w:t xml:space="preserve">Previously in South Africa, adult females, male prepupae and pupae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had been controlled on a commercial scale in two vineyards by an application of hexachlorobutadiene (de Klerk, 1987). The best results were obtained after harvest during March. Although the cyst stages were not affected, applications in two consecutive years did effectively control the pest. However, in Argentina (Mendoza and San Jan provinces)</w:t>
      </w:r>
      <w:r>
        <w:rPr>
          <w:rFonts w:ascii="Calibri" w:hAnsi="Calibri" w:eastAsia="Calibri" w:cs="Calibri"/>
          <w:strike/>
          <w:color w:val="000000"/>
          <w:sz w:val="22"/>
          <w:szCs w:val="22"/>
        </w:rPr>
        <w:t xml:space="preserve">,</w:t>
      </w:r>
      <w:r>
        <w:rPr>
          <w:rFonts w:ascii="Calibri" w:hAnsi="Calibri" w:eastAsia="Calibri" w:cs="Calibri"/>
          <w:color w:val="000000"/>
          <w:sz w:val="22"/>
          <w:szCs w:val="22"/>
        </w:rPr>
        <w:t xml:space="preserve"> soil treatments with hexachlorobutadiene did not give satisfactory control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(Vega, 1978).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in South America. It should be noted that grapevine rootstocks in South America (in countries where grapevine phylloxera is not present) may differ from those used in Europe and therefore there is a greater degree of uncertainty regarding the impact of the South American margarodids in European vineyards (EFSA, 2019). The relative polyphagy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may mean that it presents a phytosanitary risk to other plant species grown in the EPPO region also.</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occurs in countries with a range of climate types including temperate and humid subtropical (type Cfa according to the Köppen Geiger classification) which also occurs in the EPPO region where hosts are grown.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would be able to establish in the EPPO region (EFSA, 2019).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can remain dormant as cysts in the soil for many years and can create colonies from single parthenogenetic females,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points 10 of Regulation 2019/2072 (EU, 2019)) and prohibit the import of soil. However,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polyphagous and plants other than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could provide a potential pathway. Other appropriate phytosanitary measures to import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or other host plants for planting (other than seeds) with roots into the EPPO region could require that these plants are produced in a pest free area or in a pest free place/site of production for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(2016) </w:t>
      </w: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Sistema Nacional Argentino de Vigilancia y Monitorio de Plagas, Buenos Aires, Argentina. Available at: http://www.sinavimogov.ar/plaga/margarodes-vitis (accessed 15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Barnes MM,Wargo MJ &amp; Marín A (1969) Studies on the biology of </w:t>
      </w:r>
      <w:r>
        <w:rPr>
          <w:rFonts w:ascii="Calibri" w:hAnsi="Calibri" w:eastAsia="Calibri" w:cs="Calibri"/>
          <w:i/>
          <w:iCs/>
          <w:color w:val="000000"/>
          <w:sz w:val="22"/>
          <w:szCs w:val="22"/>
        </w:rPr>
        <w:t xml:space="preserve">Margarodes vitium</w:t>
      </w:r>
      <w:r>
        <w:rPr>
          <w:rFonts w:ascii="Calibri" w:hAnsi="Calibri" w:eastAsia="Calibri" w:cs="Calibri"/>
          <w:color w:val="000000"/>
          <w:sz w:val="22"/>
          <w:szCs w:val="22"/>
        </w:rPr>
        <w:t xml:space="preserve">, a ground pearl (Homoptera: Margarodidae) on roots of grapevines.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(5), 1032-1035.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77406ac45f5293b3c"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 </w:t>
      </w: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EPPO Global database. Available at:  </w:t>
      </w:r>
      <w:hyperlink r:id="rId22956ac45f5293ce1" w:history="1">
        <w:r>
          <w:rPr>
            <w:rFonts w:ascii="Calibri" w:hAnsi="Calibri" w:eastAsia="Calibri" w:cs="Calibri"/>
            <w:color w:val="0000CC"/>
            <w:sz w:val="22"/>
            <w:szCs w:val="22"/>
            <w:u w:val="single"/>
          </w:rPr>
          <w:t xml:space="preserve">https://gd.eppo.int/taxon/MARGVI/hosts</w:t>
        </w:r>
      </w:hyperlink>
      <w:r>
        <w:rPr>
          <w:rFonts w:ascii="Calibri" w:hAnsi="Calibri" w:eastAsia="Calibri" w:cs="Calibri"/>
          <w:color w:val="000000"/>
          <w:sz w:val="22"/>
          <w:szCs w:val="22"/>
        </w:rPr>
        <w:t xml:space="preserve"> (accessed 15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69226ac45f5293d98"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330–349. Available from </w:t>
      </w:r>
      <w:hyperlink r:id="rId51886ac45f5293ebb"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70546ac45f5293f0c"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Foldi I (2005) Ground pearls: a generic revision of the Margarodidae </w:t>
      </w:r>
      <w:r>
        <w:rPr>
          <w:rFonts w:ascii="Calibri" w:hAnsi="Calibri" w:eastAsia="Calibri" w:cs="Calibri"/>
          <w:i/>
          <w:iCs/>
          <w:color w:val="000000"/>
          <w:sz w:val="22"/>
          <w:szCs w:val="22"/>
        </w:rPr>
        <w:t xml:space="preserve">sensu stricto</w:t>
      </w:r>
      <w:r>
        <w:rPr>
          <w:rFonts w:ascii="Calibri" w:hAnsi="Calibri" w:eastAsia="Calibri" w:cs="Calibri"/>
          <w:color w:val="000000"/>
          <w:sz w:val="22"/>
          <w:szCs w:val="22"/>
        </w:rPr>
        <w:t xml:space="preserve">. (Hemiptera: Sternorrhyncha: Coccoidea).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81-25.</w:t>
      </w:r>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Galet P (1982) </w:t>
      </w:r>
      <w:r>
        <w:rPr>
          <w:rFonts w:ascii="Calibri" w:hAnsi="Calibri" w:eastAsia="Calibri" w:cs="Calibri"/>
          <w:i/>
          <w:iCs/>
          <w:color w:val="000000"/>
          <w:sz w:val="22"/>
          <w:szCs w:val="22"/>
        </w:rPr>
        <w:t xml:space="preserve">Les maladies et parasites de la vigne</w:t>
      </w:r>
      <w:r>
        <w:rPr>
          <w:rFonts w:ascii="Calibri" w:hAnsi="Calibri" w:eastAsia="Calibri" w:cs="Calibri"/>
          <w:color w:val="000000"/>
          <w:sz w:val="22"/>
          <w:szCs w:val="22"/>
        </w:rPr>
        <w:t xml:space="preserve">. Vol. II. Paysan du Midi, Montpellier (FR), pp. 1332-1336.</w:t>
      </w:r>
    </w:p>
    <w:p>
      <w:pPr>
        <w:widowControl w:val="on"/>
        <w:pBdr/>
        <w:spacing w:before="220" w:after="220" w:line="240" w:lineRule="auto"/>
        <w:ind w:left="0" w:right="0"/>
        <w:jc w:val="left"/>
      </w:pPr>
      <w:r>
        <w:rPr>
          <w:rFonts w:ascii="Calibri" w:hAnsi="Calibri" w:eastAsia="Calibri" w:cs="Calibri"/>
          <w:color w:val="000000"/>
          <w:sz w:val="22"/>
          <w:szCs w:val="22"/>
        </w:rPr>
        <w:t xml:space="preserve">Giliomee J, de Klerk C &amp; Watson GW (2022 in press) 3.3.4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Encyclopedia of Scale Insect Pests</w:t>
      </w:r>
      <w:r>
        <w:rPr>
          <w:rFonts w:ascii="Calibri" w:hAnsi="Calibri" w:eastAsia="Calibri" w:cs="Calibri"/>
          <w:color w:val="000000"/>
          <w:sz w:val="22"/>
          <w:szCs w:val="22"/>
        </w:rPr>
        <w:t xml:space="preserve"> (Eds Kondo T &amp; Watson GW), pp. 69-73.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RH (1983) Manejo de plagas de la vid. </w:t>
      </w:r>
      <w:r>
        <w:rPr>
          <w:rFonts w:ascii="Calibri" w:hAnsi="Calibri" w:eastAsia="Calibri" w:cs="Calibri"/>
          <w:i/>
          <w:iCs/>
          <w:color w:val="000000"/>
          <w:sz w:val="22"/>
          <w:szCs w:val="22"/>
        </w:rPr>
        <w:t xml:space="preserve">Publicaciones en Ciencia Agricultura, Universidad de Chile, Facultad Ciencia Agrarias, Veterinarias, y Forestales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RH (1989) </w:t>
      </w:r>
      <w:r>
        <w:rPr>
          <w:rFonts w:ascii="Calibri" w:hAnsi="Calibri" w:eastAsia="Calibri" w:cs="Calibri"/>
          <w:i/>
          <w:iCs/>
          <w:color w:val="000000"/>
          <w:sz w:val="22"/>
          <w:szCs w:val="22"/>
        </w:rPr>
        <w:t xml:space="preserve">Insectos y acaros de importancia agricola y cuarentenaria en Chile.</w:t>
      </w:r>
      <w:r>
        <w:rPr>
          <w:rFonts w:ascii="Calibri" w:hAnsi="Calibri" w:eastAsia="Calibri" w:cs="Calibri"/>
          <w:color w:val="000000"/>
          <w:sz w:val="22"/>
          <w:szCs w:val="22"/>
        </w:rPr>
        <w:t xml:space="preserve"> Universidad de Chile, Santiago, Chile, 310 pp.</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British Museum (Natural History), London (GB), 187 pp. </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(1980) Biology of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de Klerk (Coccoidea: Margarodidae)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 Available at </w:t>
      </w:r>
      <w:hyperlink r:id="rId36366ac45f5294209" w:history="1">
        <w:r>
          <w:rPr>
            <w:rFonts w:ascii="Calibri" w:hAnsi="Calibri" w:eastAsia="Calibri" w:cs="Calibri"/>
            <w:color w:val="0000CC"/>
            <w:sz w:val="22"/>
            <w:szCs w:val="22"/>
            <w:u w:val="single"/>
          </w:rPr>
          <w:t xml:space="preserve">https://doi.org/10.21548/1-1-2413</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(2010) Chemical control of male pre-pupae and adult females of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 (Coccoidea: Margarodidae) on grapevines. </w:t>
      </w:r>
      <w:r>
        <w:rPr>
          <w:rFonts w:ascii="Calibri" w:hAnsi="Calibri" w:eastAsia="Calibri" w:cs="Calibri"/>
          <w:i/>
          <w:iCs/>
          <w:color w:val="000000"/>
          <w:sz w:val="22"/>
          <w:szCs w:val="22"/>
        </w:rPr>
        <w:t xml:space="preserve">South African Journal of Enology and Viticulture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160-164.</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Margarodes.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Viticulture research, Winetech Technical, available at </w:t>
      </w:r>
      <w:hyperlink r:id="rId56786ac45f52942db"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15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Mariconi FAM &amp; Zamith APL (1973) [Contribution to the knowledge of Margarodinae (Homoptera, Margarodidae) that occur in Brazil]. </w:t>
      </w:r>
      <w:r>
        <w:rPr>
          <w:rFonts w:ascii="Calibri" w:hAnsi="Calibri" w:eastAsia="Calibri" w:cs="Calibri"/>
          <w:i/>
          <w:iCs/>
          <w:color w:val="000000"/>
          <w:sz w:val="22"/>
          <w:szCs w:val="22"/>
        </w:rPr>
        <w:t xml:space="preserve">Anals da Sociedade Entomologica do Brasil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86-101. Available at </w:t>
      </w:r>
      <w:hyperlink r:id="rId54036ac45f529435b" w:history="1">
        <w:r>
          <w:rPr>
            <w:rFonts w:ascii="Calibri" w:hAnsi="Calibri" w:eastAsia="Calibri" w:cs="Calibri"/>
            <w:color w:val="0000CC"/>
            <w:sz w:val="22"/>
            <w:szCs w:val="22"/>
            <w:u w:val="single"/>
          </w:rPr>
          <w:t xml:space="preserve">https://doi.org/10.37486/0301-8059.v2i1.16</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Olalquiaga Fauré G &amp; Contesse Pinto J (1959) Pests of grapevine in Chile.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(6), 73-77.</w:t>
      </w:r>
    </w:p>
    <w:p>
      <w:pPr>
        <w:widowControl w:val="on"/>
        <w:pBdr/>
        <w:spacing w:before="220" w:after="220" w:line="240" w:lineRule="auto"/>
        <w:ind w:left="0" w:right="0"/>
        <w:jc w:val="left"/>
      </w:pPr>
      <w:r>
        <w:rPr>
          <w:rFonts w:ascii="Calibri" w:hAnsi="Calibri" w:eastAsia="Calibri" w:cs="Calibri"/>
          <w:color w:val="000000"/>
          <w:sz w:val="22"/>
          <w:szCs w:val="22"/>
        </w:rPr>
        <w:t xml:space="preserve">Swart PL &amp; de Klerk CA (1986) Scale insects. In </w:t>
      </w:r>
      <w:r>
        <w:rPr>
          <w:rFonts w:ascii="Calibri" w:hAnsi="Calibri" w:eastAsia="Calibri" w:cs="Calibri"/>
          <w:i/>
          <w:iCs/>
          <w:color w:val="000000"/>
          <w:sz w:val="22"/>
          <w:szCs w:val="22"/>
        </w:rPr>
        <w:t xml:space="preserve">Crop pests of Southern Africa. Bulletin 407, Vol. 1. Deciduous fruit, grapes and berries </w:t>
      </w:r>
      <w:r>
        <w:rPr>
          <w:rFonts w:ascii="Calibri" w:hAnsi="Calibri" w:eastAsia="Calibri" w:cs="Calibri"/>
          <w:color w:val="000000"/>
          <w:sz w:val="22"/>
          <w:szCs w:val="22"/>
        </w:rPr>
        <w:t xml:space="preserve">(Ed. Myburgh AC). Department of Agriculture and Water Supply,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Vega E (1978) Vineyard replanting and soil disinfection in Argentina. </w:t>
      </w:r>
      <w:r>
        <w:rPr>
          <w:rFonts w:ascii="Calibri" w:hAnsi="Calibri" w:eastAsia="Calibri" w:cs="Calibri"/>
          <w:i/>
          <w:iCs/>
          <w:color w:val="000000"/>
          <w:sz w:val="22"/>
          <w:szCs w:val="22"/>
        </w:rPr>
        <w:t xml:space="preserve">Bulletin de l'OIV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250-262.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Gillian W. Watson, Natural History Museum, London,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vitis</w:t>
      </w:r>
      <w:r>
        <w:rPr>
          <w:rFonts w:ascii="Calibri" w:hAnsi="Calibri" w:eastAsia="Calibri" w:cs="Calibri"/>
          <w:color w:val="000000"/>
          <w:sz w:val="22"/>
          <w:szCs w:val="22"/>
        </w:rPr>
        <w:t xml:space="preserve">. EPPO datasheets on pests recommended for regulation. Available online. </w:t>
      </w:r>
      <w:hyperlink r:id="rId39436ac45f529451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0123615" name="name84466ac45f529466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006ac45f529466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42834">
    <w:multiLevelType w:val="hybridMultilevel"/>
    <w:lvl w:ilvl="0" w:tplc="37287623">
      <w:start w:val="1"/>
      <w:numFmt w:val="decimal"/>
      <w:lvlText w:val="%1."/>
      <w:lvlJc w:val="left"/>
      <w:pPr>
        <w:ind w:left="720" w:hanging="360"/>
      </w:pPr>
    </w:lvl>
    <w:lvl w:ilvl="1" w:tplc="37287623" w:tentative="1">
      <w:start w:val="1"/>
      <w:numFmt w:val="lowerLetter"/>
      <w:lvlText w:val="%2."/>
      <w:lvlJc w:val="left"/>
      <w:pPr>
        <w:ind w:left="1440" w:hanging="360"/>
      </w:pPr>
    </w:lvl>
    <w:lvl w:ilvl="2" w:tplc="37287623" w:tentative="1">
      <w:start w:val="1"/>
      <w:numFmt w:val="lowerRoman"/>
      <w:lvlText w:val="%3."/>
      <w:lvlJc w:val="right"/>
      <w:pPr>
        <w:ind w:left="2160" w:hanging="180"/>
      </w:pPr>
    </w:lvl>
    <w:lvl w:ilvl="3" w:tplc="37287623" w:tentative="1">
      <w:start w:val="1"/>
      <w:numFmt w:val="decimal"/>
      <w:lvlText w:val="%4."/>
      <w:lvlJc w:val="left"/>
      <w:pPr>
        <w:ind w:left="2880" w:hanging="360"/>
      </w:pPr>
    </w:lvl>
    <w:lvl w:ilvl="4" w:tplc="37287623" w:tentative="1">
      <w:start w:val="1"/>
      <w:numFmt w:val="lowerLetter"/>
      <w:lvlText w:val="%5."/>
      <w:lvlJc w:val="left"/>
      <w:pPr>
        <w:ind w:left="3600" w:hanging="360"/>
      </w:pPr>
    </w:lvl>
    <w:lvl w:ilvl="5" w:tplc="37287623" w:tentative="1">
      <w:start w:val="1"/>
      <w:numFmt w:val="lowerRoman"/>
      <w:lvlText w:val="%6."/>
      <w:lvlJc w:val="right"/>
      <w:pPr>
        <w:ind w:left="4320" w:hanging="180"/>
      </w:pPr>
    </w:lvl>
    <w:lvl w:ilvl="6" w:tplc="37287623" w:tentative="1">
      <w:start w:val="1"/>
      <w:numFmt w:val="decimal"/>
      <w:lvlText w:val="%7."/>
      <w:lvlJc w:val="left"/>
      <w:pPr>
        <w:ind w:left="5040" w:hanging="360"/>
      </w:pPr>
    </w:lvl>
    <w:lvl w:ilvl="7" w:tplc="37287623" w:tentative="1">
      <w:start w:val="1"/>
      <w:numFmt w:val="lowerLetter"/>
      <w:lvlText w:val="%8."/>
      <w:lvlJc w:val="left"/>
      <w:pPr>
        <w:ind w:left="5760" w:hanging="360"/>
      </w:pPr>
    </w:lvl>
    <w:lvl w:ilvl="8" w:tplc="37287623" w:tentative="1">
      <w:start w:val="1"/>
      <w:numFmt w:val="lowerRoman"/>
      <w:lvlText w:val="%9."/>
      <w:lvlJc w:val="right"/>
      <w:pPr>
        <w:ind w:left="6480" w:hanging="180"/>
      </w:pPr>
    </w:lvl>
  </w:abstractNum>
  <w:abstractNum w:abstractNumId="68742833">
    <w:multiLevelType w:val="hybridMultilevel"/>
    <w:lvl w:ilvl="0" w:tplc="19569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42833">
    <w:abstractNumId w:val="68742833"/>
  </w:num>
  <w:num w:numId="68742834">
    <w:abstractNumId w:val="6874283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4813491" Type="http://schemas.microsoft.com/office/2011/relationships/commentsExtended" Target="commentsExtended.xml"/><Relationship Id="rId637563699" Type="http://schemas.microsoft.com/office/2011/relationships/people" Target="people.xml"/><Relationship Id="rId46306ac45f5291134" Type="http://schemas.openxmlformats.org/officeDocument/2006/relationships/hyperlink" Target="https://gd.eppo.int/taxon/MARGVI/" TargetMode="External"/><Relationship Id="rId98406ac45f529119e" Type="http://schemas.openxmlformats.org/officeDocument/2006/relationships/hyperlink" Target="https://gd.eppo.int/taxon/MARGVI/categorization" TargetMode="External"/><Relationship Id="rId39806ac45f5291957" Type="http://schemas.openxmlformats.org/officeDocument/2006/relationships/hyperlink" Target="https://gd.eppo.int/taxon/MARGVI/photos" TargetMode="External"/><Relationship Id="rId77406ac45f5293b3c" Type="http://schemas.openxmlformats.org/officeDocument/2006/relationships/hyperlink" Target="https://efsa.onlinelibrary.wiley.com/doi/epdf/10.2903/j.efsa.2019.5672" TargetMode="External"/><Relationship Id="rId22956ac45f5293ce1" Type="http://schemas.openxmlformats.org/officeDocument/2006/relationships/hyperlink" Target="https://gd.eppo.int/taxon/MARGVI/hosts" TargetMode="External"/><Relationship Id="rId69226ac45f5293d98" Type="http://schemas.openxmlformats.org/officeDocument/2006/relationships/hyperlink" Target="https://gd.eppo.int/download/standard/206/pm7-082-1-en.pdf" TargetMode="External"/><Relationship Id="rId51886ac45f5293ebb" Type="http://schemas.openxmlformats.org/officeDocument/2006/relationships/hyperlink" Target="https://gd.eppo.int/download/standard/738/pm3-085-1-en.pdf" TargetMode="External"/><Relationship Id="rId70546ac45f5293f0c" Type="http://schemas.openxmlformats.org/officeDocument/2006/relationships/hyperlink" Target="https://eur-lex.europa.eu/legal-content/EN/TXT/?uri=CELEX%3A32019R2072" TargetMode="External"/><Relationship Id="rId36366ac45f5294209" Type="http://schemas.openxmlformats.org/officeDocument/2006/relationships/hyperlink" Target="https://doi.org/10.21548/1-1-2413" TargetMode="External"/><Relationship Id="rId56786ac45f52942db" Type="http://schemas.openxmlformats.org/officeDocument/2006/relationships/hyperlink" Target="https://www.wineland.co.za/identification-control-management-grapevine-margarodes/" TargetMode="External"/><Relationship Id="rId54036ac45f529435b" Type="http://schemas.openxmlformats.org/officeDocument/2006/relationships/hyperlink" Target="https://doi.org/10.37486/0301-8059.v2i1.16" TargetMode="External"/><Relationship Id="rId39436ac45f5294515" Type="http://schemas.openxmlformats.org/officeDocument/2006/relationships/hyperlink" Target="https://gd.eppo.int" TargetMode="External"/><Relationship Id="rId62576ac45f5291828" Type="http://schemas.openxmlformats.org/officeDocument/2006/relationships/image" Target="media/imgrId62576ac45f5291828.jpg"/><Relationship Id="rId11966ac45f5292c88" Type="http://schemas.openxmlformats.org/officeDocument/2006/relationships/image" Target="media/imgrId11966ac45f5292c88.jpg"/><Relationship Id="rId10006ac45f529466a" Type="http://schemas.openxmlformats.org/officeDocument/2006/relationships/image" Target="media/imgrId10006ac45f529466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