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vitis</w:t>
            </w:r>
            <w:r>
              <w:rPr>
                <w:rFonts w:ascii="Calibri" w:hAnsi="Calibri" w:eastAsia="Calibri" w:cs="Calibri"/>
                <w:color w:val="000000"/>
                <w:position w:val="-3"/>
                <w:sz w:val="22"/>
                <w:szCs w:val="22"/>
              </w:rPr>
              <w:t xml:space="preserve"> (Philippi), </w:t>
            </w:r>
            <w:r>
              <w:rPr>
                <w:rFonts w:ascii="Calibri" w:hAnsi="Calibri" w:eastAsia="Calibri" w:cs="Calibri"/>
                <w:i/>
                <w:iCs/>
                <w:color w:val="000000"/>
                <w:position w:val="-3"/>
                <w:sz w:val="22"/>
                <w:szCs w:val="22"/>
              </w:rPr>
              <w:t xml:space="preserve">Margarodes vitium</w:t>
            </w:r>
            <w:r>
              <w:rPr>
                <w:rFonts w:ascii="Calibri" w:hAnsi="Calibri" w:eastAsia="Calibri" w:cs="Calibri"/>
                <w:color w:val="000000"/>
                <w:position w:val="-3"/>
                <w:sz w:val="22"/>
                <w:szCs w:val="22"/>
              </w:rPr>
              <w:t xml:space="preserve"> Giard, </w:t>
            </w:r>
            <w:r>
              <w:rPr>
                <w:rFonts w:ascii="Calibri" w:hAnsi="Calibri" w:eastAsia="Calibri" w:cs="Calibri"/>
                <w:i/>
                <w:iCs/>
                <w:color w:val="000000"/>
                <w:position w:val="-3"/>
                <w:sz w:val="22"/>
                <w:szCs w:val="22"/>
              </w:rPr>
              <w:t xml:space="preserve">Sphaeraspis vitis</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27906a27e0f8add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7936a27e0f8ade4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282676" name="name79886a27e0f8ae492" descr="14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91.jpg"/>
                          <pic:cNvPicPr/>
                        </pic:nvPicPr>
                        <pic:blipFill>
                          <a:blip r:embed="rId27796a27e0f8ae490" cstate="print"/>
                          <a:stretch>
                            <a:fillRect/>
                          </a:stretch>
                        </pic:blipFill>
                        <pic:spPr>
                          <a:xfrm>
                            <a:off x="0" y="0"/>
                            <a:ext cx="2160000" cy="1281600"/>
                          </a:xfrm>
                          <a:prstGeom prst="rect">
                            <a:avLst/>
                          </a:prstGeom>
                          <a:ln w="0">
                            <a:noFill/>
                          </a:ln>
                        </pic:spPr>
                      </pic:pic>
                    </a:graphicData>
                  </a:graphic>
                </wp:inline>
              </w:drawing>
            </w:r>
            <w:hyperlink r:id="rId99096a27e0f8ae5d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(Philippi) occurs in South America. The other five species are found in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The North American ground pearl species that used to be called </w:t>
      </w:r>
      <w:r>
        <w:rPr>
          <w:rFonts w:ascii="Calibri" w:hAnsi="Calibri" w:eastAsia="Calibri" w:cs="Calibri"/>
          <w:i/>
          <w:iCs/>
          <w:color w:val="000000"/>
          <w:sz w:val="22"/>
          <w:szCs w:val="22"/>
        </w:rPr>
        <w:t xml:space="preserve">Margarodes meridionalis </w:t>
      </w:r>
      <w:r>
        <w:rPr>
          <w:rFonts w:ascii="Calibri" w:hAnsi="Calibri" w:eastAsia="Calibri" w:cs="Calibri"/>
          <w:color w:val="000000"/>
          <w:sz w:val="22"/>
          <w:szCs w:val="22"/>
        </w:rPr>
        <w:t xml:space="preserve">Morrison is now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known as </w:t>
      </w:r>
      <w:r>
        <w:rPr>
          <w:rFonts w:ascii="Calibri" w:hAnsi="Calibri" w:eastAsia="Calibri" w:cs="Calibri"/>
          <w:i/>
          <w:iCs/>
          <w:color w:val="000000"/>
          <w:sz w:val="22"/>
          <w:szCs w:val="22"/>
        </w:rPr>
        <w:t xml:space="preserve">Dimargarodes meridionalis </w:t>
      </w:r>
      <w:r>
        <w:rPr>
          <w:rFonts w:ascii="Calibri" w:hAnsi="Calibri" w:eastAsia="Calibri" w:cs="Calibri"/>
          <w:color w:val="000000"/>
          <w:sz w:val="22"/>
          <w:szCs w:val="22"/>
        </w:rPr>
        <w:t xml:space="preserve">(Morrison).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cyst stage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was first described as a nematode, </w:t>
      </w:r>
      <w:r>
        <w:rPr>
          <w:rFonts w:ascii="Calibri" w:hAnsi="Calibri" w:eastAsia="Calibri" w:cs="Calibri"/>
          <w:i/>
          <w:iCs/>
          <w:color w:val="000000"/>
          <w:sz w:val="22"/>
          <w:szCs w:val="22"/>
        </w:rPr>
        <w:t xml:space="preserve">Heterodera vitis</w:t>
      </w:r>
      <w:r>
        <w:rPr>
          <w:rFonts w:ascii="Calibri" w:hAnsi="Calibri" w:eastAsia="Calibri" w:cs="Calibri"/>
          <w:color w:val="000000"/>
          <w:sz w:val="22"/>
          <w:szCs w:val="22"/>
        </w:rPr>
        <w:t xml:space="preserve"> Philippi, and only later as an insect,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Giard. It is often referred to by the latter name in publications from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polyphagous, feeding only on the roots of wild plants and weeds belonging to the families Apiaceae, Asteraceae, Casuarinaceae, Convolvulaceae, Euphorbiaceae, Fabaceae, Linaceae, Malvaceae, Nyctaginaceae, Poaceae, Polygonaceae, Rosaceae, Verbenaceae and Vitaceae.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principal, economically significant host, and this would be the host at risk in the EPPO region. Other cultivated hosts have been recorded in Cactaceae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sp.) and Rhamnaceae (</w:t>
      </w:r>
      <w:r>
        <w:rPr>
          <w:rFonts w:ascii="Calibri" w:hAnsi="Calibri" w:eastAsia="Calibri" w:cs="Calibri"/>
          <w:i/>
          <w:iCs/>
          <w:color w:val="000000"/>
          <w:sz w:val="22"/>
          <w:szCs w:val="22"/>
        </w:rPr>
        <w:t xml:space="preserve">Colletia spinosissima</w:t>
      </w:r>
      <w:r>
        <w:rPr>
          <w:rFonts w:ascii="Calibri" w:hAnsi="Calibri" w:eastAsia="Calibri" w:cs="Calibri"/>
          <w:color w:val="000000"/>
          <w:sz w:val="22"/>
          <w:szCs w:val="22"/>
        </w:rPr>
        <w:t xml:space="preserve">) (González, 1989).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recorded as a pest of tung (</w:t>
      </w:r>
      <w:r>
        <w:rPr>
          <w:rFonts w:ascii="Calibri" w:hAnsi="Calibri" w:eastAsia="Calibri" w:cs="Calibri"/>
          <w:i/>
          <w:iCs/>
          <w:color w:val="000000"/>
          <w:sz w:val="22"/>
          <w:szCs w:val="22"/>
        </w:rPr>
        <w:t xml:space="preserve">Aleurites</w:t>
      </w:r>
      <w:r>
        <w:rPr>
          <w:rFonts w:ascii="Calibri" w:hAnsi="Calibri" w:eastAsia="Calibri" w:cs="Calibri"/>
          <w:color w:val="000000"/>
          <w:sz w:val="22"/>
          <w:szCs w:val="22"/>
        </w:rPr>
        <w:t xml:space="preserve"> sp., Euphorbiaceae) in Brazil (Mariconi &amp; Zamith, 1973). Among the other genera on which it has been recorded, the following are of significance to the EPPO region: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(Jakubski, 1965).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Nyctaginaceae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Tilioideae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only known from South America. It was originally described from Chile and has since been recorded from Argentina, Brazil, Paraguay, Uruguay and Venezuela.</w:t>
      </w:r>
    </w:p>
    <w:p>
      <w:r>
        <w:drawing>
          <wp:inline distT="0" distB="0" distL="0" distR="0">
            <wp:extent cx="6120000" cy="3067200"/>
            <wp:docPr id="31545208" name="name12356a27e0f8aff9c" descr="MAR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I_distribution_map.jpg"/>
                    <pic:cNvPicPr/>
                  </pic:nvPicPr>
                  <pic:blipFill>
                    <a:blip r:embed="rId76666a27e0f8aff9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(Maranhao, Rio Grande do Sul, Santa Catarina), Chile,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 subterranean species that feeds on roots usually at a depth of 20-60 cm, but it can occur at depths of up to 120 cm. According to Foldi &amp; Soria (1989),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parthenogenetic (However, see note on rare exception described below) and remains in the soil all year. Adult females occur in the soil around the host’s roots in late spring and early summer (between October and December). Adult females lack mouthparts and cannot feed; each female lays between 150 and 900 eggs (depending on body size) in long strings into an ovisac of white wax filaments near the roots in summer (these ovisacs can be found in the soil between November and February). Newly hatched first-instar nymphs have legs; they find and attach to the roots by their mouthparts to feed, then become sessile. The subsequent cyst stage remains attached by its mouthparts and undergoes two moults within the ground pearl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feeding and growing after each moult before becoming dormant again (González, 1983). Dormant cysts can survive in the soil for many years (González, 1983;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Each year, adult females emerge from some of the cysts lying dormant in the soil and go on to reproduce. The life cycle from egg to adult takes at least 3 years (Foldi &amp; Soria, 1989). </w:t>
      </w:r>
    </w:p>
    <w:p>
      <w:pPr>
        <w:widowControl w:val="on"/>
        <w:pBdr/>
        <w:spacing w:before="220" w:after="220" w:line="240" w:lineRule="auto"/>
        <w:ind w:left="0" w:right="0"/>
        <w:jc w:val="both"/>
      </w:pPr>
      <w:r>
        <w:rPr>
          <w:rFonts w:ascii="Calibri" w:hAnsi="Calibri" w:eastAsia="Calibri" w:cs="Calibri"/>
          <w:color w:val="000000"/>
          <w:sz w:val="22"/>
          <w:szCs w:val="22"/>
        </w:rPr>
        <w:t xml:space="preserve">Jakubski (1965) described adult males, which are very rare, live for up to 14 days and appear for a short time above ground to mate. It is not known whether the rare production of males might indicate the presence of a sexual biotype or an unidentified cryptic species, or not. Mating would be expected to occur on the soil surface in early summer (between mid-November and the end of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(from Dr Arnaldo Rodriguez, ConoSur vineyards &amp; winery, Administrador Fundo Santa Elisa, Chimbarongo, Chile), the eggs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produced in long strings, with the eggs stuck together by their narrow ends. Newly laid eggs are elongate-ovoid, each approximately 0.6 mm long, smooth, creamy white and lightly coated with fine white wax filaments.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(see above), first-instar nymphs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long and narrow, creamy white, each approximately 1 mm long, with antennae and legs clearly visible. The subsequent cyst stage is broadly ovoid to spherical, lacks legs, has very small antennae and is enclosed in an ovoid, hard, pale to mid-brown test, up to 7 mm long and 4-5 mm in diameter (EPPO, 2007). The light yellow to red-brown cyst (Foldi, 2005; EPPO, 2007) has a rough, scaly outer wall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When the hard outer layer is removed, the insect within is pale creamy yellow (EPPO,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females are ovoid and very variable in size, up to 10 mm long and 5 mm wide, pale creamy yellow, with soft, deeply segmented bodies densely covered with long brown hair-like setae. They have characteristic enlarged fossorial (digging) forelegs with dark-brown claws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males described by Jakubski (1965), if conspecific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extremely rare and probably about 3.8-4.4 mm long, with long antennae, legs, a single pair of wings and probably a tail tuft of white wax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involves detailed microscopic study of the adult females and/or cysts by a scale insect specialist. Prior to identification, specimens may be preserved in 75% ethanol. A slide-mounted adult female has numerous spines on metathorax and abdomen, progressively denser towards apex of abdomen, with each spine enlarged apically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detailed morphological descriptions and illustrations, see Jakubski (1965) and Foldi &amp; Soria (1989), as well as the EPPO diagnostic protocol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provide photographs.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The parthenogenetic females remain underground all year.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pale yellow to red-brown ovoid cysts up to 7.0 mm long with a dull, scaly surface. The cysts are present throughout the year on roots or lying free in the soil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have been developed (EPPO, 2018).  The EPPO diagnostic protocol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limited due to the subterranean habit of the insect; the first-instar crawlers and burrowing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or other plants for planting (when moved with roots and soil attached) and/or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An infestation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devitalizes the host plant directly by sap depletion and probably by injecting toxins, damaging the roots which results in gradual decline, chlorosis, dieback and ultimately death in conditions of stress (Anonymous, 2016;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This ground pearl is of great economic importance in South America, causing severe damage to grapevines, especially in Chile where it is the most important pest in the central grapevine-growing region. Approximately 600 ha of vineyards are infested in Chile (Olalquiaga Fauré &amp; Contesse Pinto, 1959), with up to 31 cysts per litre of soil causing quite extensive damage (Barnes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Significant damage is also done to grapevines in Argentina, Uruguay and Venezuela (González, 1983).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a pest of tung (</w:t>
      </w:r>
      <w:r>
        <w:rPr>
          <w:rFonts w:ascii="Calibri" w:hAnsi="Calibri" w:eastAsia="Calibri" w:cs="Calibri"/>
          <w:i/>
          <w:iCs/>
          <w:color w:val="000000"/>
          <w:sz w:val="22"/>
          <w:szCs w:val="22"/>
        </w:rPr>
        <w:t xml:space="preserve">Aleurites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Brazil (Mariconi &amp; Zamith, 1973).</w:t>
      </w:r>
    </w:p>
    <w:p>
      <w:pPr>
        <w:widowControl w:val="on"/>
        <w:pBdr/>
        <w:spacing w:before="220" w:after="220" w:line="240" w:lineRule="auto"/>
        <w:ind w:left="0" w:right="0"/>
        <w:jc w:val="both"/>
      </w:pPr>
      <w:r>
        <w:rPr>
          <w:rFonts w:ascii="Calibri" w:hAnsi="Calibri" w:eastAsia="Calibri" w:cs="Calibri"/>
          <w:color w:val="000000"/>
          <w:sz w:val="22"/>
          <w:szCs w:val="22"/>
        </w:rPr>
        <w:t xml:space="preserve">Ground pearls are difficult to control and vineyards that are replanted in infested soils are readily reinfested, even after an interval of several years. In South Africa, other ground pearl species similar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increasingly serious pests of vineyards, resulting in vines dying in patches and some vineyards being completely destroyed (de Klerk, 1980; Swart &amp; de Klerk, 1986). The soil may become permanently unsuitable for commercial grapevine cultivation (de Klerk,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have not been documented. This ground pearl used to be controlled by flooding vineyards at the times of adult emergence (November to December) and hatching of young larvae (February), with repeated treatments over several years until no viable cysts remained (Galet, 1982). However, this method has practical limitations, tends to favour weeds and is of variable effectiveness.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regarding grapevine varietal resistance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Africa, no vine rootstock resistance to the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has been found, although many European and American varieties have been tested (de Klerk, 2017), and at present, pesticide application is the only method of control. This presents technical problems because the target insects are underground.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effective control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been obtained using neonicotinoid pesticides (thiamethozam or imidacloprid) as a soil application shortly after harvest, when the annual population of new cysts starts feeding and translocation in vines is still active (de Klerk, 2010). These are systemic insecticides, and the time of application has to be managed very strictly to avoid residues in the grapes. Follow-up treatments are essential, as only a certain proportion of cysts develop into females in a season and dormant cysts survive the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Previously in South Africa, adult females, male prepupae and pupae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had been controlled on a commercial scale in two vineyards by an application of hexachlorobutadiene (de Klerk, 1987). The best results were obtained after harvest during March. Although the cyst stages were not affected, applications in two consecutive years did effectively control the pest. However, in Argentina (Mendoza and San Jan provinces)</w:t>
      </w:r>
      <w:r>
        <w:rPr>
          <w:rFonts w:ascii="Calibri" w:hAnsi="Calibri" w:eastAsia="Calibri" w:cs="Calibri"/>
          <w:strike/>
          <w:color w:val="000000"/>
          <w:sz w:val="22"/>
          <w:szCs w:val="22"/>
        </w:rPr>
        <w:t xml:space="preserve">,</w:t>
      </w:r>
      <w:r>
        <w:rPr>
          <w:rFonts w:ascii="Calibri" w:hAnsi="Calibri" w:eastAsia="Calibri" w:cs="Calibri"/>
          <w:color w:val="000000"/>
          <w:sz w:val="22"/>
          <w:szCs w:val="22"/>
        </w:rPr>
        <w:t xml:space="preserve"> soil treatments with hexachlorobutadiene did not give satisfactory control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(Vega,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in South America. It should be noted that grapevine rootstocks in South America (in countries where grapevine phylloxera is not present) may differ from those used in Europe and therefore there is a greater degree of uncertainty regarding the impact of the South American margarodids in European vineyards (EFSA, 2019). The relative polyphagy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may mean that it presents a phytosanitary risk to other plant species grown in the EPPO region also.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occurs in countries with a range of climate types including temperate and humid subtropical (type Cfa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can remain dormant as cysts in the soil for many years and can create colonies from single parthenogenetic females,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and prohibit the import of soil. However,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polyphagous and plants other than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could provide a potential pathway. Other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or other host plants for planting (other than seeds) with roots into the EPPO region could require that these plants are produced in a pest free area or in a pest free place/site of production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Sistema Nacional Argentino de Vigilancia y Monitorio de Plagas, Buenos Aires, Argentina. Available at: http://www.sinavimogov.ar/plaga/margarodes-vitis (accessed 15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MM,Wargo MJ &amp; Marín A (1969) Studies on the biology of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a ground pearl (Homoptera: Margarodidae) on roots of grapevines.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1032-1035.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68576a27e0f8b0e41"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Global database. Available at:  </w:t>
      </w:r>
      <w:hyperlink r:id="rId57506a27e0f8b0ea7" w:history="1">
        <w:r>
          <w:rPr>
            <w:rFonts w:ascii="Calibri" w:hAnsi="Calibri" w:eastAsia="Calibri" w:cs="Calibri"/>
            <w:color w:val="0000CC"/>
            <w:sz w:val="22"/>
            <w:szCs w:val="22"/>
            <w:u w:val="single"/>
          </w:rPr>
          <w:t xml:space="preserve">https://gd.eppo.int/taxon/MARGVI/hosts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74516a27e0f8b0f55"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53906a27e0f8b106a"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40326a27e0f8b10ab"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(2005) Ground pearls: a generic revision of the Margarodidae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(Hemiptera: Sternorrhyncha: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81-25.</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Galet P (1982) </w:t>
      </w:r>
      <w:r>
        <w:rPr>
          <w:rFonts w:ascii="Calibri" w:hAnsi="Calibri" w:eastAsia="Calibri" w:cs="Calibri"/>
          <w:i/>
          <w:iCs/>
          <w:color w:val="000000"/>
          <w:sz w:val="22"/>
          <w:szCs w:val="22"/>
        </w:rPr>
        <w:t xml:space="preserve">Les maladies et parasites de la vigne</w:t>
      </w:r>
      <w:r>
        <w:rPr>
          <w:rFonts w:ascii="Calibri" w:hAnsi="Calibri" w:eastAsia="Calibri" w:cs="Calibri"/>
          <w:color w:val="000000"/>
          <w:sz w:val="22"/>
          <w:szCs w:val="22"/>
        </w:rPr>
        <w:t xml:space="preserve">. Vol. II. Paysan du Midi, Montpellier (FR), pp. 1332-1336.</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(1983) Manejo de plagas de la vid. </w:t>
      </w:r>
      <w:r>
        <w:rPr>
          <w:rFonts w:ascii="Calibri" w:hAnsi="Calibri" w:eastAsia="Calibri" w:cs="Calibri"/>
          <w:i/>
          <w:iCs/>
          <w:color w:val="000000"/>
          <w:sz w:val="22"/>
          <w:szCs w:val="22"/>
        </w:rPr>
        <w:t xml:space="preserve">Publicaciones en Ciencia Agricultura, Universidad de Chile, Facultad Ciencia Agrarias, Veterinarias, y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w:t>
      </w:r>
      <w:r>
        <w:rPr>
          <w:rFonts w:ascii="Calibri" w:hAnsi="Calibri" w:eastAsia="Calibri" w:cs="Calibri"/>
          <w:i/>
          <w:iCs/>
          <w:color w:val="000000"/>
          <w:sz w:val="22"/>
          <w:szCs w:val="22"/>
        </w:rPr>
        <w:t xml:space="preserve">Insectos y acaros de importancia agricola y cuarentenaria en Chile.</w:t>
      </w:r>
      <w:r>
        <w:rPr>
          <w:rFonts w:ascii="Calibri" w:hAnsi="Calibri" w:eastAsia="Calibri" w:cs="Calibri"/>
          <w:color w:val="000000"/>
          <w:sz w:val="22"/>
          <w:szCs w:val="22"/>
        </w:rPr>
        <w:t xml:space="preserve"> Universidad de Chile, Santiago,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British Museum (Natural History), London (GB), 187 pp.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60216a27e0f8b1385"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(2010) Chemical control of male pre-pupae and adult females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of Enology and Viticulture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160-164.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Margarodes.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52466a27e0f8b1451"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Mariconi FAM &amp; Zamith APL (1973) [Contribution to the knowledge of Margarodinae (Homoptera, Margarodidae) that occur in Brazil]. </w:t>
      </w:r>
      <w:r>
        <w:rPr>
          <w:rFonts w:ascii="Calibri" w:hAnsi="Calibri" w:eastAsia="Calibri" w:cs="Calibri"/>
          <w:i/>
          <w:iCs/>
          <w:color w:val="000000"/>
          <w:sz w:val="22"/>
          <w:szCs w:val="22"/>
        </w:rPr>
        <w:t xml:space="preserve">Anals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86-101. Available at </w:t>
      </w:r>
      <w:hyperlink r:id="rId68746a27e0f8b14ce" w:history="1">
        <w:r>
          <w:rPr>
            <w:rFonts w:ascii="Calibri" w:hAnsi="Calibri" w:eastAsia="Calibri" w:cs="Calibri"/>
            <w:color w:val="0000CC"/>
            <w:sz w:val="22"/>
            <w:szCs w:val="22"/>
            <w:u w:val="single"/>
          </w:rPr>
          <w:t xml:space="preserve">https://doi.org/10.37486/0301-8059.v2i1.16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Olalquiaga Fauré G &amp; Contesse Pinto J (1959) Pests of grapevine in Chile.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73-77.</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 </w:t>
      </w:r>
      <w:r>
        <w:rPr>
          <w:rFonts w:ascii="Calibri" w:hAnsi="Calibri" w:eastAsia="Calibri" w:cs="Calibri"/>
          <w:color w:val="000000"/>
          <w:sz w:val="22"/>
          <w:szCs w:val="22"/>
        </w:rPr>
        <w:t xml:space="preserve">(Ed. Myburgh AC).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Vega E (1978) Vineyard replanting and soil disinfection in Argentina. </w:t>
      </w:r>
      <w:r>
        <w:rPr>
          <w:rFonts w:ascii="Calibri" w:hAnsi="Calibri" w:eastAsia="Calibri" w:cs="Calibri"/>
          <w:i/>
          <w:iCs/>
          <w:color w:val="000000"/>
          <w:sz w:val="22"/>
          <w:szCs w:val="22"/>
        </w:rPr>
        <w:t xml:space="preserve">Bulletin de l'OIV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250-262.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datasheets on pests recommended for regulation. Available online. </w:t>
      </w:r>
      <w:hyperlink r:id="rId60636a27e0f8b16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5339294" name="name46286a27e0f8b1a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396a27e0f8b1a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458959">
    <w:multiLevelType w:val="hybridMultilevel"/>
    <w:lvl w:ilvl="0" w:tplc="15476962">
      <w:start w:val="1"/>
      <w:numFmt w:val="decimal"/>
      <w:lvlText w:val="%1."/>
      <w:lvlJc w:val="left"/>
      <w:pPr>
        <w:ind w:left="720" w:hanging="360"/>
      </w:pPr>
    </w:lvl>
    <w:lvl w:ilvl="1" w:tplc="15476962" w:tentative="1">
      <w:start w:val="1"/>
      <w:numFmt w:val="lowerLetter"/>
      <w:lvlText w:val="%2."/>
      <w:lvlJc w:val="left"/>
      <w:pPr>
        <w:ind w:left="1440" w:hanging="360"/>
      </w:pPr>
    </w:lvl>
    <w:lvl w:ilvl="2" w:tplc="15476962" w:tentative="1">
      <w:start w:val="1"/>
      <w:numFmt w:val="lowerRoman"/>
      <w:lvlText w:val="%3."/>
      <w:lvlJc w:val="right"/>
      <w:pPr>
        <w:ind w:left="2160" w:hanging="180"/>
      </w:pPr>
    </w:lvl>
    <w:lvl w:ilvl="3" w:tplc="15476962" w:tentative="1">
      <w:start w:val="1"/>
      <w:numFmt w:val="decimal"/>
      <w:lvlText w:val="%4."/>
      <w:lvlJc w:val="left"/>
      <w:pPr>
        <w:ind w:left="2880" w:hanging="360"/>
      </w:pPr>
    </w:lvl>
    <w:lvl w:ilvl="4" w:tplc="15476962" w:tentative="1">
      <w:start w:val="1"/>
      <w:numFmt w:val="lowerLetter"/>
      <w:lvlText w:val="%5."/>
      <w:lvlJc w:val="left"/>
      <w:pPr>
        <w:ind w:left="3600" w:hanging="360"/>
      </w:pPr>
    </w:lvl>
    <w:lvl w:ilvl="5" w:tplc="15476962" w:tentative="1">
      <w:start w:val="1"/>
      <w:numFmt w:val="lowerRoman"/>
      <w:lvlText w:val="%6."/>
      <w:lvlJc w:val="right"/>
      <w:pPr>
        <w:ind w:left="4320" w:hanging="180"/>
      </w:pPr>
    </w:lvl>
    <w:lvl w:ilvl="6" w:tplc="15476962" w:tentative="1">
      <w:start w:val="1"/>
      <w:numFmt w:val="decimal"/>
      <w:lvlText w:val="%7."/>
      <w:lvlJc w:val="left"/>
      <w:pPr>
        <w:ind w:left="5040" w:hanging="360"/>
      </w:pPr>
    </w:lvl>
    <w:lvl w:ilvl="7" w:tplc="15476962" w:tentative="1">
      <w:start w:val="1"/>
      <w:numFmt w:val="lowerLetter"/>
      <w:lvlText w:val="%8."/>
      <w:lvlJc w:val="left"/>
      <w:pPr>
        <w:ind w:left="5760" w:hanging="360"/>
      </w:pPr>
    </w:lvl>
    <w:lvl w:ilvl="8" w:tplc="15476962" w:tentative="1">
      <w:start w:val="1"/>
      <w:numFmt w:val="lowerRoman"/>
      <w:lvlText w:val="%9."/>
      <w:lvlJc w:val="right"/>
      <w:pPr>
        <w:ind w:left="6480" w:hanging="180"/>
      </w:pPr>
    </w:lvl>
  </w:abstractNum>
  <w:abstractNum w:abstractNumId="87458958">
    <w:multiLevelType w:val="hybridMultilevel"/>
    <w:lvl w:ilvl="0" w:tplc="148723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458958">
    <w:abstractNumId w:val="87458958"/>
  </w:num>
  <w:num w:numId="87458959">
    <w:abstractNumId w:val="874589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1153205" Type="http://schemas.microsoft.com/office/2011/relationships/commentsExtended" Target="commentsExtended.xml"/><Relationship Id="rId102009902" Type="http://schemas.microsoft.com/office/2011/relationships/people" Target="people.xml"/><Relationship Id="rId27906a27e0f8addd7" Type="http://schemas.openxmlformats.org/officeDocument/2006/relationships/hyperlink" Target="https://gd.eppo.int/taxon/MARGVI/" TargetMode="External"/><Relationship Id="rId37936a27e0f8ade44" Type="http://schemas.openxmlformats.org/officeDocument/2006/relationships/hyperlink" Target="https://gd.eppo.int/taxon/MARGVI/categorization" TargetMode="External"/><Relationship Id="rId99096a27e0f8ae5dd" Type="http://schemas.openxmlformats.org/officeDocument/2006/relationships/hyperlink" Target="https://gd.eppo.int/taxon/MARGVI/photos" TargetMode="External"/><Relationship Id="rId68576a27e0f8b0e41" Type="http://schemas.openxmlformats.org/officeDocument/2006/relationships/hyperlink" Target="https://efsa.onlinelibrary.wiley.com/doi/epdf/10.2903/j.efsa.2019.5672" TargetMode="External"/><Relationship Id="rId57506a27e0f8b0ea7" Type="http://schemas.openxmlformats.org/officeDocument/2006/relationships/hyperlink" Target="https://gd.eppo.int/taxon/MARGVI/hosts" TargetMode="External"/><Relationship Id="rId74516a27e0f8b0f55" Type="http://schemas.openxmlformats.org/officeDocument/2006/relationships/hyperlink" Target="https://gd.eppo.int/download/standard/206/pm7-082-1-en.pdf" TargetMode="External"/><Relationship Id="rId53906a27e0f8b106a" Type="http://schemas.openxmlformats.org/officeDocument/2006/relationships/hyperlink" Target="https://gd.eppo.int/download/standard/738/pm3-085-1-en.pdf" TargetMode="External"/><Relationship Id="rId40326a27e0f8b10ab" Type="http://schemas.openxmlformats.org/officeDocument/2006/relationships/hyperlink" Target="https://eur-lex.europa.eu/legal-content/EN/TXT/?uri=CELEX%3A32019R2072" TargetMode="External"/><Relationship Id="rId60216a27e0f8b1385" Type="http://schemas.openxmlformats.org/officeDocument/2006/relationships/hyperlink" Target="https://doi.org/10.21548/1-1-2413" TargetMode="External"/><Relationship Id="rId52466a27e0f8b1451" Type="http://schemas.openxmlformats.org/officeDocument/2006/relationships/hyperlink" Target="https://www.wineland.co.za/identification-control-management-grapevine-margarodes/" TargetMode="External"/><Relationship Id="rId68746a27e0f8b14ce" Type="http://schemas.openxmlformats.org/officeDocument/2006/relationships/hyperlink" Target="https://doi.org/10.37486/0301-8059.v2i1.16" TargetMode="External"/><Relationship Id="rId60636a27e0f8b1693" Type="http://schemas.openxmlformats.org/officeDocument/2006/relationships/hyperlink" Target="https://gd.eppo.int" TargetMode="External"/><Relationship Id="rId27796a27e0f8ae490" Type="http://schemas.openxmlformats.org/officeDocument/2006/relationships/image" Target="media/imgrId27796a27e0f8ae490.jpg"/><Relationship Id="rId76666a27e0f8aff98" Type="http://schemas.openxmlformats.org/officeDocument/2006/relationships/image" Target="media/imgrId76666a27e0f8aff98.jpg"/><Relationship Id="rId81396a27e0f8b1a5d" Type="http://schemas.openxmlformats.org/officeDocument/2006/relationships/image" Target="media/imgrId81396a27e0f8b1a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