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trimeni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trimeni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Giard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Coccionella trimeni</w:t>
            </w:r>
            <w:r>
              <w:rPr>
                <w:rFonts w:ascii="Calibri" w:hAnsi="Calibri" w:eastAsia="Calibri" w:cs="Calibri"/>
                <w:color w:val="000000"/>
                <w:position w:val="-3"/>
                <w:sz w:val="22"/>
                <w:szCs w:val="22"/>
              </w:rPr>
              <w:t xml:space="preserve"> Lindinger</w:t>
            </w:r>
            <w:hyperlink r:id="rId56816633e40cde5a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1646633e40cde61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0295109" name="name64246633e40cdee59" descr="14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6.jpg"/>
                          <pic:cNvPicPr/>
                        </pic:nvPicPr>
                        <pic:blipFill>
                          <a:blip r:embed="rId16476633e40cdee56" cstate="print"/>
                          <a:stretch>
                            <a:fillRect/>
                          </a:stretch>
                        </pic:blipFill>
                        <pic:spPr>
                          <a:xfrm>
                            <a:off x="0" y="0"/>
                            <a:ext cx="2160000" cy="1281600"/>
                          </a:xfrm>
                          <a:prstGeom prst="rect">
                            <a:avLst/>
                          </a:prstGeom>
                          <a:ln w="0">
                            <a:noFill/>
                          </a:ln>
                        </pic:spPr>
                      </pic:pic>
                    </a:graphicData>
                  </a:graphic>
                </wp:inline>
              </w:drawing>
            </w:r>
            <w:hyperlink r:id="rId81426633e40cdf01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w:t>
      </w:r>
      <w:r>
        <w:rPr>
          <w:rFonts w:ascii="Calibri" w:hAnsi="Calibri" w:eastAsia="Calibri" w:cs="Calibri"/>
          <w:i/>
          <w:iCs/>
          <w:color w:val="000000"/>
          <w:sz w:val="22"/>
          <w:szCs w:val="22"/>
        </w:rPr>
        <w:t xml:space="preserve">vredendalensis</w:t>
      </w:r>
      <w:r>
        <w:rPr>
          <w:rFonts w:ascii="Calibri" w:hAnsi="Calibri" w:eastAsia="Calibri" w:cs="Calibri"/>
          <w:color w:val="000000"/>
          <w:sz w:val="22"/>
          <w:szCs w:val="22"/>
        </w:rPr>
        <w:t xml:space="preserve"> de Klerk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de Klerk,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trimeni</w:t>
      </w:r>
      <w:r>
        <w:rPr>
          <w:rFonts w:ascii="Calibri" w:hAnsi="Calibri" w:eastAsia="Calibri" w:cs="Calibri"/>
          <w:color w:val="000000"/>
          <w:sz w:val="22"/>
          <w:szCs w:val="22"/>
        </w:rPr>
        <w:t xml:space="preserve"> has been recorded feeding on the roots of grasses (Poaceae), and occasionally cysts of this species have been found in ant and termite nests (Giard, 1897; Jakubski, 1965). De Klerk (1978) recorded it feeding on the roots of grapevines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in a vineyard. The species has not been collected many times and its full host range is not known. Grapevine would be the main crop at risk in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Margarodes trimeni </w:t>
      </w:r>
      <w:r>
        <w:rPr>
          <w:rFonts w:ascii="Calibri" w:hAnsi="Calibri" w:eastAsia="Calibri" w:cs="Calibri"/>
          <w:color w:val="000000"/>
          <w:sz w:val="22"/>
          <w:szCs w:val="22"/>
        </w:rPr>
        <w:t xml:space="preserve">has been recorded only from South Africa, mainly in the Western Cape province near the towns of Ceres, Tulbagh, Riversdale, Paarl, and at Slanghoek, near Worcester; also in Gauteng province in Pretoria (Jakubski, 1965; de Klerk, 1978).</w:t>
      </w:r>
    </w:p>
    <w:p>
      <w:r>
        <w:drawing>
          <wp:inline distT="0" distB="0" distL="0" distR="0">
            <wp:extent cx="6120000" cy="3067200"/>
            <wp:docPr id="62182768" name="name18536633e40ce00ab" descr="MARG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TR_distribution_map.jpg"/>
                    <pic:cNvPicPr/>
                  </pic:nvPicPr>
                  <pic:blipFill>
                    <a:blip r:embed="rId68946633e40ce00a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 trimeni</w:t>
      </w:r>
      <w:r>
        <w:rPr>
          <w:rFonts w:ascii="Calibri" w:hAnsi="Calibri" w:eastAsia="Calibri" w:cs="Calibri"/>
          <w:color w:val="000000"/>
          <w:sz w:val="22"/>
          <w:szCs w:val="22"/>
        </w:rPr>
        <w:t xml:space="preserve"> is assumed to be parthenogenetic, as males have never been recorded (Jakubski, 1965; de Klerk, 1978). There is probably one generation per year, but the biology has never been studied. Its biology may be similar to that of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(de Klerk, 1978) and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(de Klerk, 1980), which were studied under laboratory and field conditions and showed great similarity.</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data for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it is assumed for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that: the cysts would occur mostly at a depth of 46-60 cm, in the zone of greatest root abundance, but could occur as deep as 120 cm; &lt;20% of cysts would develop into adult females annually, emerging between the end of November and the beginning of March; eggs would be laid in clusters in the soil close to grapevine roots, in pockets lined with secreted wax filaments, and they would hatch after 34-43 days; newly hatched nymphs would disperse through the soil and attach by their mouthparts to rootlets 0.5-1.2 m below the soil surface to feed; nymphs would become sessile and moult to the legless second-instar nymphal cyst stage, which grows before secreting a protective waxy covering and going through multiple moults to form a pearl-like, dormant non-feeding cyst which is resistant to unfavourable conditions. Cysts would remain attached to the roots by the long mouthparts (de Klerk, 2017) and could remain viable in the soil for several years; their maximum longevity is not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infestation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Phylloxeridae), but in the case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appearance of the eggs has not been documented (Jakubski, 1965; de Klerk, 1978). They are likely to be similar to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which are each 0.43-0.60 mm long, smooth, glossy-white, elongated, with one end more rounded than the other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appearance of the first-instar nymphs has not been documented (Jakubski, 1965; de Klerk, 1978). They are likely to be similar to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in which first-instar nymphs are creamy white, elongate, 0.84-0.91 mm long, with antennae and legs clearly visible under the dissection microscope (Jakubski, 1965;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second-instar cysts (ground pearls)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are irregularly ovoid and narrower at one end, up to 6.3 mm long and 4.0 mm wide, brassy yellow or bronze coloured with a coppery or pearly iridescent lustre (Jakubski, 1965; de Klerk, 1978); thick-walled and very hard, constructed of distinct overlapping scales but generally with the outer surface smooth (de Klerk, 1978). Of the </w:t>
      </w:r>
      <w:r>
        <w:rPr>
          <w:rFonts w:ascii="Calibri" w:hAnsi="Calibri" w:eastAsia="Calibri" w:cs="Calibri"/>
          <w:i/>
          <w:iCs/>
          <w:color w:val="000000"/>
          <w:sz w:val="22"/>
          <w:szCs w:val="22"/>
        </w:rPr>
        <w:t xml:space="preserve">Margarodes </w:t>
      </w:r>
      <w:r>
        <w:rPr>
          <w:rFonts w:ascii="Calibri" w:hAnsi="Calibri" w:eastAsia="Calibri" w:cs="Calibri"/>
          <w:color w:val="000000"/>
          <w:sz w:val="22"/>
          <w:szCs w:val="22"/>
        </w:rPr>
        <w:t xml:space="preserve">species found in South Africa,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is the only one whose cyst is iridescent and not spherical (de Klerk, 1978; Watson, 2022). Second instar cysts occur loose in the soil as well as attached to grapevine roots (de Klerk, 1978).</w:t>
      </w:r>
    </w:p>
    <w:p>
      <w:pPr>
        <w:widowControl w:val="on"/>
        <w:pBdr/>
        <w:spacing w:before="220" w:after="220" w:line="240" w:lineRule="auto"/>
        <w:ind w:left="0" w:right="0"/>
        <w:jc w:val="both"/>
      </w:pPr>
      <w:r>
        <w:rPr>
          <w:rFonts w:ascii="Calibri" w:hAnsi="Calibri" w:eastAsia="Calibri" w:cs="Calibri"/>
          <w:color w:val="000000"/>
          <w:sz w:val="22"/>
          <w:szCs w:val="22"/>
        </w:rPr>
        <w:t xml:space="preserve">The slide-mounted second-instar cyst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has 6 pairs of abdominal spiracles, decreasing in size posteriorly, the posterior-most pair being inconspicuous; cicatrices number only 2 on each side, arranged in line between the anus and the last pair of abdominal spiracles (de Klerk 1978). For detailed morphological description and illustration of the cyst stage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see de Klerk (1978).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Brain (1915), live adult females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resemble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which are ovoid, dirty white to yellowish, with bodies sparsely covered with short hair-like setae and segmentation clearly visible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but they are slightly smaller (3.9-5.0 mm long and 2.5-4.0 mm wide (de Klerk, 1978)). Like other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they have characteristic enlarged fossorial (digging) forelegs with heavily sclerotised dark-brown claws, and 6 pairs of abdominal spiracles (Jakubski, 1965; de Klerk, 1978). The abdominal spiracles are relatively short and robust; bluntly pointed spines are absent from the medial areas but present on the margins and submargins of wider parts of the body (de Klerk, 1978). Multilocular pores are absent from surfaces of the head and prothorax but are present on other parts of the venter; and mid- and hind-leg claws are each long (182‒201 μm) and only slightly curved, with the inner surface smooth (Watson, 2022). For a detailed morphological description and illustration of the adult female stage, see de Klerk (1978). Apparently parthenogenetic, this species has not been recorded producing any males.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females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The adult female of the South American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described by Jakubski (1965) but there is no key provided to identify the species, so it is very difficult to use for identification purposes. Foldi &amp; Soria (1989) provide descriptions and illustrations of the adult female and cyst stage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but no identification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Adult female</w:t>
      </w:r>
      <w:r>
        <w:rPr>
          <w:rFonts w:ascii="Calibri" w:hAnsi="Calibri" w:eastAsia="Calibri" w:cs="Calibri"/>
          <w:i/>
          <w:iCs/>
          <w:color w:val="000000"/>
          <w:sz w:val="22"/>
          <w:szCs w:val="22"/>
        </w:rPr>
        <w:t xml:space="preserve"> M. trimeni</w:t>
      </w:r>
      <w:r>
        <w:rPr>
          <w:rFonts w:ascii="Calibri" w:hAnsi="Calibri" w:eastAsia="Calibri" w:cs="Calibri"/>
          <w:color w:val="000000"/>
          <w:sz w:val="22"/>
          <w:szCs w:val="22"/>
        </w:rPr>
        <w:t xml:space="preserve"> do not appear at the soil surface because they do not need to mate (de Klerk, 1978, 2017). To confirm the presence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the vine roots and surrounding soil down to a depth of 1.2 m should be inspected.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or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may be responsible for the damage. If root galls are not found, the inspection should look for brassy yellow or bronze-coloured, smooth, iridescent ovoid cysts each up to 6.3 mm long (de Klerk, 1978; Watson, 2022). Cysts attached to roots or free in the soil are present throughout the year and are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(EPPO, 2018) have been developed. EPPO (2007) mainly covers a diagnostic protocol for </w:t>
      </w:r>
      <w:r>
        <w:rPr>
          <w:rFonts w:ascii="Calibri" w:hAnsi="Calibri" w:eastAsia="Calibri" w:cs="Calibri"/>
          <w:i/>
          <w:iCs/>
          <w:color w:val="000000"/>
          <w:sz w:val="22"/>
          <w:szCs w:val="22"/>
        </w:rPr>
        <w:t xml:space="preserve">Margarodes prieskaensis, M. vitis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 </w:t>
      </w:r>
      <w:r>
        <w:rPr>
          <w:rFonts w:ascii="Calibri" w:hAnsi="Calibri" w:eastAsia="Calibri" w:cs="Calibri"/>
          <w:color w:val="000000"/>
          <w:sz w:val="22"/>
          <w:szCs w:val="22"/>
        </w:rPr>
        <w:t xml:space="preserve">but also provides detection and identification methods for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based on morphology (see also Morphology above); Watson (2022) provides identification keys to immature cysts and adult females.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is extremely limited due to the subterranean habit of the insect; the first-instar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data available on the actual economic impact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Ground pearls devitalize the host directly by sap and nutrient depletion,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vines sometimes die within five or six years (de Klerk, 2017). Infestation of vines stressed by drought or nematode infestation can result in them dying in patches. De Klerk (1978) recorded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causing patches of dieback of grapevines in a vineyard. Ground pearls are difficult to control due to their subterranean habit and even after an interval of several years, vineyards replanted in infested soils are readily reinfested. Once infested, land may become unsuitable for commercial vineyard cultivation indefinitely (de Klerk, 1978,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many European and American varieties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tested, no cultivars resistant to </w:t>
      </w:r>
      <w:r>
        <w:rPr>
          <w:rFonts w:ascii="Calibri" w:hAnsi="Calibri" w:eastAsia="Calibri" w:cs="Calibri"/>
          <w:i/>
          <w:iCs/>
          <w:color w:val="000000"/>
          <w:sz w:val="22"/>
          <w:szCs w:val="22"/>
        </w:rPr>
        <w:t xml:space="preserve">Margarodes </w:t>
      </w:r>
      <w:r>
        <w:rPr>
          <w:rFonts w:ascii="Calibri" w:hAnsi="Calibri" w:eastAsia="Calibri" w:cs="Calibri"/>
          <w:color w:val="000000"/>
          <w:sz w:val="22"/>
          <w:szCs w:val="22"/>
        </w:rPr>
        <w:t xml:space="preserve">have been found; nor have any natural enemies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been documented. Consequently, the only possible control has been with insecticides, which presents technical problems because the target insects live up to 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As cysts can survive in the soil for years without feeding and only a certain percentage of cysts annually develop into adult females (de Klerk, 1978), follow-up treatments in successive years are essential. Fumigation for nematodes before planting could reduce numbers of females if done at the time when the females are active (but this method is not officially registered). After first treatments, annual re-evaluation of pest presence is necessary to decide on the need for any follow-up treatments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trimeni</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probably lasts longer than one year (de Klerk, 2017). However, since the native hosts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are not known, there is uncertainty as to what type of annual crops would not serve as hosts for the ground pearls.</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is assumed to be parthenogenetic and males have never been recorded, there is no sex pheromone to exploit to monitor population levels by trapping males or for mating disruption.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trimeni </w:t>
      </w:r>
      <w:r>
        <w:rPr>
          <w:rFonts w:ascii="Calibri" w:hAnsi="Calibri" w:eastAsia="Calibri" w:cs="Calibri"/>
          <w:color w:val="000000"/>
          <w:sz w:val="22"/>
          <w:szCs w:val="22"/>
        </w:rPr>
        <w:t xml:space="preserve">occurs mainly in the Western Cape province of South Africa, including in the vicinity of Ceres, Tulbagh, Paarl, Slanghoek (near Worcester) and Riversdale, although it has also been recorded in Pretoria (Gauteng province). The climate in the Western Cape varies from warm, dry temperate </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Köppen-Geiger climate type Csa) to cold, arid steppe (Köppen-Geiger climate type BSk), based on De Klerk (1978).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would be able to establish in the EPPO region (EFSA, 2019), particularly in drier Mediterranean areas. </w:t>
      </w:r>
      <w:r>
        <w:rPr>
          <w:rFonts w:ascii="Calibri" w:hAnsi="Calibri" w:eastAsia="Calibri" w:cs="Calibri"/>
          <w:i/>
          <w:iCs/>
          <w:color w:val="000000"/>
          <w:sz w:val="22"/>
          <w:szCs w:val="22"/>
        </w:rPr>
        <w:t xml:space="preserve">Margarodes trimeni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 /2072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for the whole country) or in a pest-free place/site of production for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Rooted grapevine plant material destined for export from South Africa has to be treated with both hot water and insecticide before shipment, to reduce the risk of infestation, and additional treatments are sometimes required on arrival in the country of destination.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Brain CK (1915) The Coccidae of South Africa. </w:t>
      </w:r>
      <w:r>
        <w:rPr>
          <w:rFonts w:ascii="Calibri" w:hAnsi="Calibri" w:eastAsia="Calibri" w:cs="Calibri"/>
          <w:i/>
          <w:iCs/>
          <w:color w:val="000000"/>
          <w:sz w:val="22"/>
          <w:szCs w:val="22"/>
        </w:rPr>
        <w:t xml:space="preserve">Transactions of the Royal Society of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65-194.</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(1978) </w:t>
      </w:r>
      <w:r>
        <w:rPr>
          <w:rFonts w:ascii="Calibri" w:hAnsi="Calibri" w:eastAsia="Calibri" w:cs="Calibri"/>
          <w:i/>
          <w:iCs/>
          <w:color w:val="000000"/>
          <w:sz w:val="22"/>
          <w:szCs w:val="22"/>
        </w:rPr>
        <w:t xml:space="preserve">Morphology and taxonomy of the South African species of the genus Margarodes (Hemiptera: Margarodidae), with detailed studies on the biology of two vine infesting species. PhD thesis</w:t>
      </w:r>
      <w:r>
        <w:rPr>
          <w:rFonts w:ascii="Calibri" w:hAnsi="Calibri" w:eastAsia="Calibri" w:cs="Calibri"/>
          <w:color w:val="000000"/>
          <w:sz w:val="22"/>
          <w:szCs w:val="22"/>
        </w:rPr>
        <w:t xml:space="preserve">, Stellenbosch University, (SA).</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(1980) Biology of</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Margarodes vredendalensis </w:t>
      </w:r>
      <w:r>
        <w:rPr>
          <w:rFonts w:ascii="Calibri" w:hAnsi="Calibri" w:eastAsia="Calibri" w:cs="Calibri"/>
          <w:color w:val="000000"/>
          <w:sz w:val="22"/>
          <w:szCs w:val="22"/>
        </w:rPr>
        <w:t xml:space="preserve">De Klerk (Coccoidea: Margarodiae)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Viticulture research, Winetech Technical, available at </w:t>
      </w:r>
      <w:hyperlink r:id="rId93266633e40ce1391"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92036633e40ce1561"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43296633e40ce1628"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from: </w:t>
      </w:r>
      <w:hyperlink r:id="rId70196633e40ce16b8"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330–349. Available from: </w:t>
      </w:r>
      <w:hyperlink r:id="rId86746633e40ce1761"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33476633e40ce17a3"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Foldi I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Giard A (1897) Sur la distribution géographique de cochenilles du genre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et sur deux espèces nouvelles de ce genre. </w:t>
      </w:r>
      <w:r>
        <w:rPr>
          <w:rFonts w:ascii="Calibri" w:hAnsi="Calibri" w:eastAsia="Calibri" w:cs="Calibri"/>
          <w:i/>
          <w:iCs/>
          <w:color w:val="000000"/>
          <w:sz w:val="22"/>
          <w:szCs w:val="22"/>
        </w:rPr>
        <w:t xml:space="preserve">Comptes Rendus des Séances de la Société de Biologie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683-685.</w:t>
      </w:r>
    </w:p>
    <w:p>
      <w:pPr>
        <w:widowControl w:val="on"/>
        <w:pBdr/>
        <w:spacing w:before="220" w:after="220" w:line="240" w:lineRule="auto"/>
        <w:ind w:left="0" w:right="0"/>
        <w:jc w:val="left"/>
      </w:pPr>
      <w:r>
        <w:rPr>
          <w:rFonts w:ascii="Calibri" w:hAnsi="Calibri" w:eastAsia="Calibri" w:cs="Calibri"/>
          <w:color w:val="000000"/>
          <w:sz w:val="22"/>
          <w:szCs w:val="22"/>
        </w:rPr>
        <w:t xml:space="preserve">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Trustees of the British Museum (Natural History),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archaeococcoid families.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Elleunorah Allsopp, ARC Infruitec-Nietvoorbij Fruit, Vine and Wine Institute, South Africa, and Gillian W. Watson, Natural History Museum, London, UK.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trimeni</w:t>
      </w:r>
      <w:r>
        <w:rPr>
          <w:rFonts w:ascii="Calibri" w:hAnsi="Calibri" w:eastAsia="Calibri" w:cs="Calibri"/>
          <w:color w:val="000000"/>
          <w:sz w:val="22"/>
          <w:szCs w:val="22"/>
        </w:rPr>
        <w:t xml:space="preserve">. EPPO datasheets on pests recommended for regulation. Available online. </w:t>
      </w:r>
      <w:hyperlink r:id="rId96016633e40ce1b2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9042679" name="name49286633e40ce203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3176633e40ce203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882563">
    <w:multiLevelType w:val="hybridMultilevel"/>
    <w:lvl w:ilvl="0" w:tplc="11696385">
      <w:start w:val="1"/>
      <w:numFmt w:val="decimal"/>
      <w:lvlText w:val="%1."/>
      <w:lvlJc w:val="left"/>
      <w:pPr>
        <w:ind w:left="720" w:hanging="360"/>
      </w:pPr>
    </w:lvl>
    <w:lvl w:ilvl="1" w:tplc="11696385" w:tentative="1">
      <w:start w:val="1"/>
      <w:numFmt w:val="lowerLetter"/>
      <w:lvlText w:val="%2."/>
      <w:lvlJc w:val="left"/>
      <w:pPr>
        <w:ind w:left="1440" w:hanging="360"/>
      </w:pPr>
    </w:lvl>
    <w:lvl w:ilvl="2" w:tplc="11696385" w:tentative="1">
      <w:start w:val="1"/>
      <w:numFmt w:val="lowerRoman"/>
      <w:lvlText w:val="%3."/>
      <w:lvlJc w:val="right"/>
      <w:pPr>
        <w:ind w:left="2160" w:hanging="180"/>
      </w:pPr>
    </w:lvl>
    <w:lvl w:ilvl="3" w:tplc="11696385" w:tentative="1">
      <w:start w:val="1"/>
      <w:numFmt w:val="decimal"/>
      <w:lvlText w:val="%4."/>
      <w:lvlJc w:val="left"/>
      <w:pPr>
        <w:ind w:left="2880" w:hanging="360"/>
      </w:pPr>
    </w:lvl>
    <w:lvl w:ilvl="4" w:tplc="11696385" w:tentative="1">
      <w:start w:val="1"/>
      <w:numFmt w:val="lowerLetter"/>
      <w:lvlText w:val="%5."/>
      <w:lvlJc w:val="left"/>
      <w:pPr>
        <w:ind w:left="3600" w:hanging="360"/>
      </w:pPr>
    </w:lvl>
    <w:lvl w:ilvl="5" w:tplc="11696385" w:tentative="1">
      <w:start w:val="1"/>
      <w:numFmt w:val="lowerRoman"/>
      <w:lvlText w:val="%6."/>
      <w:lvlJc w:val="right"/>
      <w:pPr>
        <w:ind w:left="4320" w:hanging="180"/>
      </w:pPr>
    </w:lvl>
    <w:lvl w:ilvl="6" w:tplc="11696385" w:tentative="1">
      <w:start w:val="1"/>
      <w:numFmt w:val="decimal"/>
      <w:lvlText w:val="%7."/>
      <w:lvlJc w:val="left"/>
      <w:pPr>
        <w:ind w:left="5040" w:hanging="360"/>
      </w:pPr>
    </w:lvl>
    <w:lvl w:ilvl="7" w:tplc="11696385" w:tentative="1">
      <w:start w:val="1"/>
      <w:numFmt w:val="lowerLetter"/>
      <w:lvlText w:val="%8."/>
      <w:lvlJc w:val="left"/>
      <w:pPr>
        <w:ind w:left="5760" w:hanging="360"/>
      </w:pPr>
    </w:lvl>
    <w:lvl w:ilvl="8" w:tplc="11696385" w:tentative="1">
      <w:start w:val="1"/>
      <w:numFmt w:val="lowerRoman"/>
      <w:lvlText w:val="%9."/>
      <w:lvlJc w:val="right"/>
      <w:pPr>
        <w:ind w:left="6480" w:hanging="180"/>
      </w:pPr>
    </w:lvl>
  </w:abstractNum>
  <w:abstractNum w:abstractNumId="57882562">
    <w:multiLevelType w:val="hybridMultilevel"/>
    <w:lvl w:ilvl="0" w:tplc="825536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882562">
    <w:abstractNumId w:val="57882562"/>
  </w:num>
  <w:num w:numId="57882563">
    <w:abstractNumId w:val="5788256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1729887" Type="http://schemas.microsoft.com/office/2011/relationships/commentsExtended" Target="commentsExtended.xml"/><Relationship Id="rId591915855" Type="http://schemas.microsoft.com/office/2011/relationships/people" Target="people.xml"/><Relationship Id="rId56816633e40cde5a0" Type="http://schemas.openxmlformats.org/officeDocument/2006/relationships/hyperlink" Target="https://gd.eppo.int/taxon/MARGTR/" TargetMode="External"/><Relationship Id="rId81646633e40cde614" Type="http://schemas.openxmlformats.org/officeDocument/2006/relationships/hyperlink" Target="https://gd.eppo.int/taxon/MARGTR/categorization" TargetMode="External"/><Relationship Id="rId81426633e40cdf01f" Type="http://schemas.openxmlformats.org/officeDocument/2006/relationships/hyperlink" Target="https://gd.eppo.int/taxon/MARGTR/photos" TargetMode="External"/><Relationship Id="rId93266633e40ce1391" Type="http://schemas.openxmlformats.org/officeDocument/2006/relationships/hyperlink" Target="https://www.wineland.co.za/identification-control-management-grapevine-margarodes/" TargetMode="External"/><Relationship Id="rId92036633e40ce1561" Type="http://schemas.openxmlformats.org/officeDocument/2006/relationships/hyperlink" Target="https://efsa.onlinelibrary.wiley.com/doi/epdf/10.2903/j.efsa.2019.5672" TargetMode="External"/><Relationship Id="rId43296633e40ce1628" Type="http://schemas.openxmlformats.org/officeDocument/2006/relationships/hyperlink" Target="https://gd.eppo.int/download/standard/206/pm7-082-1-en.pdf" TargetMode="External"/><Relationship Id="rId70196633e40ce16b8" Type="http://schemas.openxmlformats.org/officeDocument/2006/relationships/hyperlink" Target="https://onlinelibrary.wiley.com/doi/epdf/10.1111/epp.12340" TargetMode="External"/><Relationship Id="rId86746633e40ce1761" Type="http://schemas.openxmlformats.org/officeDocument/2006/relationships/hyperlink" Target="https://gd.eppo.int/download/standard/738/pm3-085-1-en.pdf" TargetMode="External"/><Relationship Id="rId33476633e40ce17a3" Type="http://schemas.openxmlformats.org/officeDocument/2006/relationships/hyperlink" Target="https://eur-lex.europa.eu/legal-content/EN/TXT/?uri=CELEX%3A32019R2072" TargetMode="External"/><Relationship Id="rId96016633e40ce1b23" Type="http://schemas.openxmlformats.org/officeDocument/2006/relationships/hyperlink" Target="https://gd.eppo.int" TargetMode="External"/><Relationship Id="rId16476633e40cdee56" Type="http://schemas.openxmlformats.org/officeDocument/2006/relationships/image" Target="media/imgrId16476633e40cdee56.jpg"/><Relationship Id="rId68946633e40ce00a7" Type="http://schemas.openxmlformats.org/officeDocument/2006/relationships/image" Target="media/imgrId68946633e40ce00a7.jpg"/><Relationship Id="rId93176633e40ce2037" Type="http://schemas.openxmlformats.org/officeDocument/2006/relationships/image" Target="media/imgrId93176633e40ce203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