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prieskaensis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prieskaensis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Sphaeraspis prieskaensis</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738869e7653d33b9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41469e7653d33c0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MARGPR</w:t>
            </w:r>
          </w:p>
        </w:tc>
        <w:tc>
          <w:tcPr>
            <w:tcW w:w="2000" w:type="pct"/>
            <w:tcMar>
              <w:top w:w="15" w:type="dxa"/>
              <w:left w:w="15" w:type="dxa"/>
              <w:bottom w:w="15" w:type="dxa"/>
              <w:right w:w="15" w:type="dxa"/>
            </w:tcMar>
            <w:vAlign w:val="center"/>
          </w:tcPr>
          <w:p>
            <w:r>
              <w:rPr>
                <w:position w:val="-86"/>
              </w:rPr>
              <w:drawing>
                <wp:inline distT="0" distB="0" distL="0" distR="0">
                  <wp:extent cx="2160000" cy="1159200"/>
                  <wp:docPr id="14881535" name="name823769e7653d342a9" descr="13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78.jpg"/>
                          <pic:cNvPicPr/>
                        </pic:nvPicPr>
                        <pic:blipFill>
                          <a:blip r:embed="rId203169e7653d342a7" cstate="print"/>
                          <a:stretch>
                            <a:fillRect/>
                          </a:stretch>
                        </pic:blipFill>
                        <pic:spPr>
                          <a:xfrm>
                            <a:off x="0" y="0"/>
                            <a:ext cx="2160000" cy="1159200"/>
                          </a:xfrm>
                          <a:prstGeom prst="rect">
                            <a:avLst/>
                          </a:prstGeom>
                          <a:ln w="0">
                            <a:noFill/>
                          </a:ln>
                        </pic:spPr>
                      </pic:pic>
                    </a:graphicData>
                  </a:graphic>
                </wp:inline>
              </w:drawing>
            </w:r>
            <w:hyperlink r:id="rId817369e7653d343d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by Jakubski (1965). Morrison &amp; Morrison (1966) synonymized the genus </w:t>
      </w:r>
      <w:r>
        <w:rPr>
          <w:rFonts w:ascii="Calibri" w:hAnsi="Calibri" w:eastAsia="Calibri" w:cs="Calibri"/>
          <w:i/>
          <w:iCs/>
          <w:color w:val="000000"/>
          <w:sz w:val="22"/>
          <w:szCs w:val="22"/>
        </w:rPr>
        <w:t xml:space="preserve">Sphaeraspis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making the new combination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has only been recorded feeding on the roots of its hosts. Its only known crop host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(Vitaceae); this would be the host at risk in the EPPO region. The only wild host known is the camel thorn tree,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Acacia erioloba</w:t>
      </w:r>
      <w:r>
        <w:rPr>
          <w:rFonts w:ascii="Calibri" w:hAnsi="Calibri" w:eastAsia="Calibri" w:cs="Calibri"/>
          <w:color w:val="000000"/>
          <w:sz w:val="22"/>
          <w:szCs w:val="22"/>
        </w:rPr>
        <w:t xml:space="preserve">) (Fabaceae), which is common along the entire Orange River valley in Namibia and North-West South Africa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soil in areas where this tree grows may already contain the pest. The tree does not occur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 </w:t>
      </w:r>
      <w:r>
        <w:rPr>
          <w:rFonts w:ascii="Calibri" w:hAnsi="Calibri" w:eastAsia="Calibri" w:cs="Calibri"/>
          <w:color w:val="000000"/>
          <w:sz w:val="22"/>
          <w:szCs w:val="22"/>
        </w:rPr>
        <w:t xml:space="preserve">has been recorded only from Southern Africa, along the Orange River in Namibia (Karas region) and in Northern South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Africa (in the provinces of Northern Cape (Orange River irrigation area), Limpopo, parts of Mpumalanga and North West) (De Klerk, 1978,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r>
        <w:drawing>
          <wp:inline distT="0" distB="0" distL="0" distR="0">
            <wp:extent cx="6120000" cy="3067200"/>
            <wp:docPr id="22296321" name="name713269e7653d3549a" descr="MAR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PR_distribution_map.jpg"/>
                    <pic:cNvPicPr/>
                  </pic:nvPicPr>
                  <pic:blipFill>
                    <a:blip r:embed="rId280169e7653d3549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Namibia,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behaviour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in Southern Africa was described in detail by Du Toit (1975). There is one generation per year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Eggs are laid in the spring (October and November) in the soil close to grapevine roots, at a depth of about 50 cm. Newly hatched nymphs disperse through the soil and attach to the rootlets by their mouthparts, to feed on roots 0.5-1.2 m below the soil surface, and then become sessile. The legless second-instar nymphal stage lasts for more than a year (de Klerk, 2017) and has two phases: an initial feeding and growing phase, followed by secretion of a protective waxy covering and multiple moults to form a pearl-like, non-feeding cyst resistant to unfavourable conditions. Cysts remain attached to the roots by their long, sucking mouthparts (de Klerk, 2017) and can remain dormant but viable in the soil for several years; their maximum longevity is not known. Nor is it known precisely what triggers, or can prevent, cyst formation. In autumn (from early May in the Northern Cape to August or even September in other regions), when the soil temperature at 50 cm depth is 16-24°C, male prepupae emerge from some of the cysts and migrate upwards to just below the soil surface (about 2.0 cm) to pupate; they undergo complete metamorphosis. In winter (June to August), just after the lowest subterranean temperatures (6-7°C) have been reached, sexually mature wingless females (from some cysts 50 cm deep in the soil) and small, inconspicuous winged males (from pupae about 2.0 cm below the soil surface) make their way up to the soil surface to mate (Du Toit, 1975;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Mating is usually complete by late winter (early September); then, over a period of about four days, the fertilized females burrow about 50 cm into the soil to lay eggs in a pocket lined with secreted wax filaments, near a root. The peak period of oviposition is in early spring (from the end of October to the beginning of November). On average, each fertilized adult female lives about 24 days and may produce about 900 eggs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The second-instar cysts (ground pearls) are up to 6.0 mm in diameter, approximately spherical, dull yellow, thick-walled and very hard, with a surface texture resembling a tortoise shell (de Klerk, 2017). When the hard outer layers are removed, the insect within is bright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vary considerably in size (up to 10 mm long and 5 mm wide), with soft deeply segmented bodies densely covered with long hair-like setae; they have characteristic enlarged fossorial (digging) forelegs with dark-brown claws. A fertilized adult female lives about 24 days, dying soon after oviposition (De Klerk, 2017); unfertilized females may survive for about 80 days (inferred from Du Toit, 1975). Slide-mounted adult females have bulbous spines on the posterior end of the abdomen and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For detailed morphological descriptions of the immature and adult female stages, see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also the EPPO diagnostic protocol (EPPO, 2007). The adult male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3.8-4.4 mm long (Hodgson &amp; Foldi, 2006) and resembles a midge, having long antennae, legs, a single pair of wings and a tail tuft of white wax filaments; it was described and illustrated by Hodgson and Foldi (2006). Males do not feed, and live for only about three days (Du Toit, 1975).</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Two references each cover some of the species from both South Africa and South America: Jakubski (1965) covers </w:t>
      </w:r>
      <w:r>
        <w:rPr>
          <w:rFonts w:ascii="Calibri" w:hAnsi="Calibri" w:eastAsia="Calibri" w:cs="Calibri"/>
          <w:i/>
          <w:iCs/>
          <w:color w:val="000000"/>
          <w:sz w:val="22"/>
          <w:szCs w:val="22"/>
        </w:rPr>
        <w:t xml:space="preserve">M. capensis, M. greeni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prieskensis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but gives no key, and is very difficult to use for identification purposes; and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gives very brief diagnoses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only, but no key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slide-mounted adult female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the body covered with long and short, almost straight setae and has short bulbous spines on the posterior end of the abdomen; whereas that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has numerous spines on the metathorax and abdomen, each spine being enlarged apically, and the spines become progressively denser towards the apex of the abdomen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In mid-winter, if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present the yellow posteriors of adult females (waiting to mate) are clearly visible protruding through the soil surface (Du Toit, 1975; de Klerk 2017).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yellow spherical cysts up to 6.0 mm in diameter with a surface texture like a tortoise shell. Cysts on roots or lying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w:t>
      </w:r>
      <w:r>
        <w:rPr>
          <w:rFonts w:ascii="Calibri" w:hAnsi="Calibri" w:eastAsia="Calibri" w:cs="Calibri"/>
          <w:color w:val="000000"/>
          <w:sz w:val="22"/>
          <w:szCs w:val="22"/>
        </w:rPr>
        <w:t xml:space="preserve"> is an increasingly serious pest of vineyards in Northern South Africa, where grapevines are grown to produce table grapes, wine, and dried fruits. Infestation results in vines dying in patches and several vineyards being completely destroyed (de Klerk, 1980; Swart &amp; de Klerk, 1986). The ground pearl devitalizes the host directly by sap and nutrient depletion and probably by injecting toxins, and vines in conditions of stress sometimes die within four to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the grapevine root stock cultivars 99 Richter, 101-14 Mgt and Rupestris du Lot are killed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(de Klerk, 2017). Although many European and American varieties have been tested, no cultivars resistant to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found. No natural enemies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mostly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(de Klerk, 1987; 2017). As cysts can survive in the soil for years without feeding and only a certain percentage of them annually develop into females (de Klerk, 1980), follow-up treatments in successive years are essential. In addition, fumigation against nematodes can reduce numbers of ground pearl male pre-pupae and pupae near the soil surface if present (de Klerk, 1987; 2017); care is necessary as some soil fumigants are phytotoxic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If an infestation is suspected, in early spring yellow or white sticky traps can be used to detect winged males, to determine the emergence timing and the location and size of infestations for further insecticide treatment. The chemical structure of the sex pheromone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was recently identified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but is too complex to synthesise economically for use in pheromone traps to catch males.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extreme difficulty of controlling or eradicating ground pearls means that it is important that infestations are detected early and eliminated by fumigation of affected areas and replacing the vines. Annual follow-up evaluations are then necessary to decide on the need for any follow-up treatments (de Klerk,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occurs in countries with a range of climate types including temperate oceanic climate (type Cfb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2019/2072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a pest-free area for the whole country) or in a pest-free place/site of production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728669e7653d362e5"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919569e7653d3639b"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642369e7653d3642d"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168569e7653d364cb"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430869e7653d3650e"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CJ &amp; Foldi I (2006) A review of the Margarodidae </w:t>
      </w:r>
      <w:r>
        <w:rPr>
          <w:rFonts w:ascii="Calibri" w:hAnsi="Calibri" w:eastAsia="Calibri" w:cs="Calibri"/>
          <w:i/>
          <w:iCs/>
          <w:color w:val="000000"/>
          <w:sz w:val="22"/>
          <w:szCs w:val="22"/>
        </w:rPr>
        <w:t xml:space="preserve">sensu</w:t>
      </w:r>
      <w:r>
        <w:rPr>
          <w:rFonts w:ascii="Calibri" w:hAnsi="Calibri" w:eastAsia="Calibri" w:cs="Calibri"/>
          <w:color w:val="000000"/>
          <w:sz w:val="22"/>
          <w:szCs w:val="22"/>
        </w:rPr>
        <w:t xml:space="preserve"> Morrison (Hemiptera: Coccoidea) and some related taxa based on the morphology of adult males.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1263</w:t>
      </w:r>
      <w:r>
        <w:rPr>
          <w:rFonts w:ascii="Calibri" w:hAnsi="Calibri" w:eastAsia="Calibri" w:cs="Calibri"/>
          <w:color w:val="000000"/>
          <w:sz w:val="22"/>
          <w:szCs w:val="22"/>
        </w:rPr>
        <w:t xml:space="preserve">, 1-250. Available at </w:t>
      </w:r>
      <w:hyperlink r:id="rId634969e7653d365fe" w:history="1">
        <w:r>
          <w:rPr>
            <w:rFonts w:ascii="Calibri" w:hAnsi="Calibri" w:eastAsia="Calibri" w:cs="Calibri"/>
            <w:color w:val="0000CC"/>
            <w:sz w:val="22"/>
            <w:szCs w:val="22"/>
            <w:u w:val="single"/>
          </w:rPr>
          <w:t xml:space="preserve">https://doi.org/10.11646/zootaxa.1263.1.1</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from </w:t>
      </w:r>
      <w:hyperlink r:id="rId128469e7653d36718"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(1987) Chemical control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for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857869e7653d368f0"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12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&amp; Morrison ER (1966) An annotated list of generic names of the scale insects (Homoptera: Coccoidea). Miscellaneous Publication United States Department of Agriculture </w:t>
      </w:r>
      <w:r>
        <w:rPr>
          <w:rFonts w:ascii="Calibri" w:hAnsi="Calibri" w:eastAsia="Calibri" w:cs="Calibri"/>
          <w:b/>
          <w:bCs/>
          <w:color w:val="000000"/>
          <w:sz w:val="22"/>
          <w:szCs w:val="22"/>
        </w:rPr>
        <w:t xml:space="preserve">1015,</w:t>
      </w:r>
      <w:r>
        <w:rPr>
          <w:rFonts w:ascii="Calibri" w:hAnsi="Calibri" w:eastAsia="Calibri" w:cs="Calibri"/>
          <w:color w:val="000000"/>
          <w:sz w:val="22"/>
          <w:szCs w:val="22"/>
        </w:rPr>
        <w:t xml:space="preserve"> 1-206. Available from </w:t>
      </w:r>
      <w:hyperlink r:id="rId555869e7653d36a4b" w:history="1">
        <w:r>
          <w:rPr>
            <w:rFonts w:ascii="Calibri" w:hAnsi="Calibri" w:eastAsia="Calibri" w:cs="Calibri"/>
            <w:color w:val="0000CC"/>
            <w:sz w:val="22"/>
            <w:szCs w:val="22"/>
            <w:u w:val="single"/>
          </w:rPr>
          <w:t xml:space="preserve">https://doi.org/10.5962/bhl.title.65706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Toit GDG du (1975) Notes on the biology and behaviour of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Jakubski (Hemiptera: Coccoidea) a pest on grapevine roots. In: </w:t>
      </w:r>
      <w:r>
        <w:rPr>
          <w:rFonts w:ascii="Calibri" w:hAnsi="Calibri" w:eastAsia="Calibri" w:cs="Calibri"/>
          <w:i/>
          <w:iCs/>
          <w:color w:val="000000"/>
          <w:sz w:val="22"/>
          <w:szCs w:val="22"/>
        </w:rPr>
        <w:t xml:space="preserve">Proceedings of the First Congress of the Entomological Society of Southern Africa, 1974 Stellenbosch</w:t>
      </w:r>
      <w:r>
        <w:rPr>
          <w:rFonts w:ascii="Calibri" w:hAnsi="Calibri" w:eastAsia="Calibri" w:cs="Calibri"/>
          <w:color w:val="000000"/>
          <w:sz w:val="22"/>
          <w:szCs w:val="22"/>
        </w:rPr>
        <w:t xml:space="preserve"> (Ed. by Durr, H.J.R.; Giliomee, J.H.; Neser, S.), pp. 255-257. Entomological Society of Southern Africa,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EPPO datasheets on pests recommended for regulation. Available online. </w:t>
      </w:r>
      <w:hyperlink r:id="rId923069e7653d36c2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8591782" name="name293469e7653d36d3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6369e7653d36d3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528008">
    <w:multiLevelType w:val="hybridMultilevel"/>
    <w:lvl w:ilvl="0" w:tplc="56015097">
      <w:start w:val="1"/>
      <w:numFmt w:val="decimal"/>
      <w:lvlText w:val="%1."/>
      <w:lvlJc w:val="left"/>
      <w:pPr>
        <w:ind w:left="720" w:hanging="360"/>
      </w:pPr>
    </w:lvl>
    <w:lvl w:ilvl="1" w:tplc="56015097" w:tentative="1">
      <w:start w:val="1"/>
      <w:numFmt w:val="lowerLetter"/>
      <w:lvlText w:val="%2."/>
      <w:lvlJc w:val="left"/>
      <w:pPr>
        <w:ind w:left="1440" w:hanging="360"/>
      </w:pPr>
    </w:lvl>
    <w:lvl w:ilvl="2" w:tplc="56015097" w:tentative="1">
      <w:start w:val="1"/>
      <w:numFmt w:val="lowerRoman"/>
      <w:lvlText w:val="%3."/>
      <w:lvlJc w:val="right"/>
      <w:pPr>
        <w:ind w:left="2160" w:hanging="180"/>
      </w:pPr>
    </w:lvl>
    <w:lvl w:ilvl="3" w:tplc="56015097" w:tentative="1">
      <w:start w:val="1"/>
      <w:numFmt w:val="decimal"/>
      <w:lvlText w:val="%4."/>
      <w:lvlJc w:val="left"/>
      <w:pPr>
        <w:ind w:left="2880" w:hanging="360"/>
      </w:pPr>
    </w:lvl>
    <w:lvl w:ilvl="4" w:tplc="56015097" w:tentative="1">
      <w:start w:val="1"/>
      <w:numFmt w:val="lowerLetter"/>
      <w:lvlText w:val="%5."/>
      <w:lvlJc w:val="left"/>
      <w:pPr>
        <w:ind w:left="3600" w:hanging="360"/>
      </w:pPr>
    </w:lvl>
    <w:lvl w:ilvl="5" w:tplc="56015097" w:tentative="1">
      <w:start w:val="1"/>
      <w:numFmt w:val="lowerRoman"/>
      <w:lvlText w:val="%6."/>
      <w:lvlJc w:val="right"/>
      <w:pPr>
        <w:ind w:left="4320" w:hanging="180"/>
      </w:pPr>
    </w:lvl>
    <w:lvl w:ilvl="6" w:tplc="56015097" w:tentative="1">
      <w:start w:val="1"/>
      <w:numFmt w:val="decimal"/>
      <w:lvlText w:val="%7."/>
      <w:lvlJc w:val="left"/>
      <w:pPr>
        <w:ind w:left="5040" w:hanging="360"/>
      </w:pPr>
    </w:lvl>
    <w:lvl w:ilvl="7" w:tplc="56015097" w:tentative="1">
      <w:start w:val="1"/>
      <w:numFmt w:val="lowerLetter"/>
      <w:lvlText w:val="%8."/>
      <w:lvlJc w:val="left"/>
      <w:pPr>
        <w:ind w:left="5760" w:hanging="360"/>
      </w:pPr>
    </w:lvl>
    <w:lvl w:ilvl="8" w:tplc="56015097" w:tentative="1">
      <w:start w:val="1"/>
      <w:numFmt w:val="lowerRoman"/>
      <w:lvlText w:val="%9."/>
      <w:lvlJc w:val="right"/>
      <w:pPr>
        <w:ind w:left="6480" w:hanging="180"/>
      </w:pPr>
    </w:lvl>
  </w:abstractNum>
  <w:abstractNum w:abstractNumId="67528007">
    <w:multiLevelType w:val="hybridMultilevel"/>
    <w:lvl w:ilvl="0" w:tplc="688540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528007">
    <w:abstractNumId w:val="67528007"/>
  </w:num>
  <w:num w:numId="67528008">
    <w:abstractNumId w:val="675280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3419272" Type="http://schemas.microsoft.com/office/2011/relationships/commentsExtended" Target="commentsExtended.xml"/><Relationship Id="rId131397455" Type="http://schemas.microsoft.com/office/2011/relationships/people" Target="people.xml"/><Relationship Id="rId738869e7653d33b94" Type="http://schemas.openxmlformats.org/officeDocument/2006/relationships/hyperlink" Target="https://gd.eppo.int/taxon/MARGPR/" TargetMode="External"/><Relationship Id="rId141469e7653d33c08" Type="http://schemas.openxmlformats.org/officeDocument/2006/relationships/hyperlink" Target="https://gd.eppo.int/taxon/MARGPR/categorization" TargetMode="External"/><Relationship Id="rId817369e7653d343d6" Type="http://schemas.openxmlformats.org/officeDocument/2006/relationships/hyperlink" Target="https://gd.eppo.int/taxon/MARGPR/photos" TargetMode="External"/><Relationship Id="rId728669e7653d362e5" Type="http://schemas.openxmlformats.org/officeDocument/2006/relationships/hyperlink" Target="https://efsa.onlinelibrary.wiley.com/doi/epdf/10.2903/j.efsa.2019.5672" TargetMode="External"/><Relationship Id="rId919569e7653d3639b" Type="http://schemas.openxmlformats.org/officeDocument/2006/relationships/hyperlink" Target="https://gd.eppo.int/download/standard/206/pm7-082-1-en.pdf" TargetMode="External"/><Relationship Id="rId642369e7653d3642d" Type="http://schemas.openxmlformats.org/officeDocument/2006/relationships/hyperlink" Target="https://onlinelibrary.wiley.com/doi/epdf/10.1111/epp.12340" TargetMode="External"/><Relationship Id="rId168569e7653d364cb" Type="http://schemas.openxmlformats.org/officeDocument/2006/relationships/hyperlink" Target="https://gd.eppo.int/download/standard/738/pm3-085-1-en.pdf" TargetMode="External"/><Relationship Id="rId430869e7653d3650e" Type="http://schemas.openxmlformats.org/officeDocument/2006/relationships/hyperlink" Target="https://eur-lex.europa.eu/legal-content/EN/TXT/?uri=CELEX%3A32019R2072" TargetMode="External"/><Relationship Id="rId634969e7653d365fe" Type="http://schemas.openxmlformats.org/officeDocument/2006/relationships/hyperlink" Target="https://doi.org/10.11646/zootaxa.1263.1.1" TargetMode="External"/><Relationship Id="rId128469e7653d36718" Type="http://schemas.openxmlformats.org/officeDocument/2006/relationships/hyperlink" Target="https://doi.org/10.21548/1-1-2413" TargetMode="External"/><Relationship Id="rId857869e7653d368f0" Type="http://schemas.openxmlformats.org/officeDocument/2006/relationships/hyperlink" Target="https://www.wineland.co.za/identification-control-management-grapevine-margarodes/" TargetMode="External"/><Relationship Id="rId555869e7653d36a4b" Type="http://schemas.openxmlformats.org/officeDocument/2006/relationships/hyperlink" Target="https://doi.org/10.5962/bhl.title.65706" TargetMode="External"/><Relationship Id="rId923069e7653d36c28" Type="http://schemas.openxmlformats.org/officeDocument/2006/relationships/hyperlink" Target="https://gd.eppo.int" TargetMode="External"/><Relationship Id="rId203169e7653d342a7" Type="http://schemas.openxmlformats.org/officeDocument/2006/relationships/image" Target="media/imgrId203169e7653d342a7.jpg"/><Relationship Id="rId280169e7653d35497" Type="http://schemas.openxmlformats.org/officeDocument/2006/relationships/image" Target="media/imgrId280169e7653d35497.jpg"/><Relationship Id="rId406369e7653d36d34" Type="http://schemas.openxmlformats.org/officeDocument/2006/relationships/image" Target="media/imgrId406369e7653d36d3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