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greeni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greeni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Brain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Coccionella greeni</w:t>
            </w:r>
            <w:r>
              <w:rPr>
                <w:rFonts w:ascii="Calibri" w:hAnsi="Calibri" w:eastAsia="Calibri" w:cs="Calibri"/>
                <w:color w:val="000000"/>
                <w:position w:val="-3"/>
                <w:sz w:val="22"/>
                <w:szCs w:val="22"/>
              </w:rPr>
              <w:t xml:space="preserve"> Lindinger, </w:t>
            </w:r>
            <w:r>
              <w:rPr>
                <w:rFonts w:ascii="Calibri" w:hAnsi="Calibri" w:eastAsia="Calibri" w:cs="Calibri"/>
                <w:i/>
                <w:iCs/>
                <w:color w:val="000000"/>
                <w:position w:val="-3"/>
                <w:sz w:val="22"/>
                <w:szCs w:val="22"/>
              </w:rPr>
              <w:t xml:space="preserve">Promargarodes greeni</w:t>
            </w:r>
            <w:r>
              <w:rPr>
                <w:rFonts w:ascii="Calibri" w:hAnsi="Calibri" w:eastAsia="Calibri" w:cs="Calibri"/>
                <w:color w:val="000000"/>
                <w:position w:val="-3"/>
                <w:sz w:val="22"/>
                <w:szCs w:val="22"/>
              </w:rPr>
              <w:t xml:space="preserve"> Jakubski</w:t>
            </w:r>
            <w:hyperlink r:id="rId83946ac6829d2ce5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8956ac6829d2ce9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MARGGR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8559296" name="name16356ac6829d2cf80" descr="14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13.jpg"/>
                          <pic:cNvPicPr/>
                        </pic:nvPicPr>
                        <pic:blipFill>
                          <a:blip r:embed="rId22506ac6829d2cf7f" cstate="print"/>
                          <a:stretch>
                            <a:fillRect/>
                          </a:stretch>
                        </pic:blipFill>
                        <pic:spPr>
                          <a:xfrm>
                            <a:off x="0" y="0"/>
                            <a:ext cx="2160000" cy="1281600"/>
                          </a:xfrm>
                          <a:prstGeom prst="rect">
                            <a:avLst/>
                          </a:prstGeom>
                          <a:ln w="0">
                            <a:noFill/>
                          </a:ln>
                        </pic:spPr>
                      </pic:pic>
                    </a:graphicData>
                  </a:graphic>
                </wp:inline>
              </w:drawing>
            </w:r>
            <w:hyperlink r:id="rId21996ac6829d2d0c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w:t>
      </w:r>
      <w:r>
        <w:rPr>
          <w:rFonts w:ascii="Calibri" w:hAnsi="Calibri" w:eastAsia="Calibri" w:cs="Calibri"/>
          <w:i/>
          <w:iCs/>
          <w:color w:val="000000"/>
          <w:sz w:val="22"/>
          <w:szCs w:val="22"/>
        </w:rPr>
        <w:t xml:space="preserve">vredendalensis</w:t>
      </w:r>
      <w:r>
        <w:rPr>
          <w:rFonts w:ascii="Calibri" w:hAnsi="Calibri" w:eastAsia="Calibri" w:cs="Calibri"/>
          <w:color w:val="000000"/>
          <w:sz w:val="22"/>
          <w:szCs w:val="22"/>
        </w:rPr>
        <w:t xml:space="preserve"> de Klerk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de Klerk,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greeni</w:t>
      </w:r>
      <w:r>
        <w:rPr>
          <w:rFonts w:ascii="Calibri" w:hAnsi="Calibri" w:eastAsia="Calibri" w:cs="Calibri"/>
          <w:color w:val="000000"/>
          <w:sz w:val="22"/>
          <w:szCs w:val="22"/>
        </w:rPr>
        <w:t xml:space="preserve"> appears to be fairly polyphagous. It has been recorded on the roots of Kikuyu grass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(de Klerk, 1978);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possibly damaging trees (de Klerk, 1978); blueberry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section </w:t>
      </w:r>
      <w:r>
        <w:rPr>
          <w:rFonts w:ascii="Calibri" w:hAnsi="Calibri" w:eastAsia="Calibri" w:cs="Calibri"/>
          <w:i/>
          <w:iCs/>
          <w:color w:val="000000"/>
          <w:sz w:val="22"/>
          <w:szCs w:val="22"/>
        </w:rPr>
        <w:t xml:space="preserve">Cyanococcus </w:t>
      </w:r>
      <w:r>
        <w:rPr>
          <w:rFonts w:ascii="Calibri" w:hAnsi="Calibri" w:eastAsia="Calibri" w:cs="Calibri"/>
          <w:color w:val="000000"/>
          <w:sz w:val="22"/>
          <w:szCs w:val="22"/>
        </w:rPr>
        <w:t xml:space="preserve">cv. 'Suziblue', apparently not causing damage (recent unpublished record, Allsopp, pers. comm, 2022); and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(Brain, 1915), damaging and killing vines (de Klerk, 1978). Grapevines and blueberries would be the hosts at risk in the EPPO region. The indigenous host plants of this ground pearl have not been identified yet.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greeni </w:t>
      </w:r>
      <w:r>
        <w:rPr>
          <w:rFonts w:ascii="Calibri" w:hAnsi="Calibri" w:eastAsia="Calibri" w:cs="Calibri"/>
          <w:color w:val="000000"/>
          <w:sz w:val="22"/>
          <w:szCs w:val="22"/>
        </w:rPr>
        <w:t xml:space="preserve">has been recorded only from South Africa, Western Cape province, where it occurs at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Vredendal and Lutzville (Olifants River Valley), Piketberg, Malmesbury, Ceres, Stellenbosch, Paarl, Worcester, Robertson and Montagu (Brain, 1915; Jakubski, 1965; de Klerk, 1978).</w:t>
      </w:r>
    </w:p>
    <w:p>
      <w:r>
        <w:drawing>
          <wp:inline distT="0" distB="0" distL="0" distR="0">
            <wp:extent cx="6120000" cy="3067200"/>
            <wp:docPr id="86023793" name="name11046ac6829d2e16c" descr="MARGG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GR_distribution_map.jpg"/>
                    <pic:cNvPicPr/>
                  </pic:nvPicPr>
                  <pic:blipFill>
                    <a:blip r:embed="rId68606ac6829d2e16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Apparently, </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 greeni</w:t>
      </w:r>
      <w:r>
        <w:rPr>
          <w:rFonts w:ascii="Calibri" w:hAnsi="Calibri" w:eastAsia="Calibri" w:cs="Calibri"/>
          <w:color w:val="000000"/>
          <w:sz w:val="22"/>
          <w:szCs w:val="22"/>
        </w:rPr>
        <w:t xml:space="preserve"> is parthenogenetic, as males have never been recorded and the adult females have not been observed visiting the soil surface to seek mates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there is probably one generation per year, but the biology has never been studied. Its biology may be similar to that of </w:t>
      </w:r>
      <w:r>
        <w:rPr>
          <w:rFonts w:ascii="Calibri" w:hAnsi="Calibri" w:eastAsia="Calibri" w:cs="Calibri"/>
          <w:i/>
          <w:iCs/>
          <w:color w:val="000000"/>
          <w:sz w:val="22"/>
          <w:szCs w:val="22"/>
        </w:rPr>
        <w:t xml:space="preserve">M. capensis </w:t>
      </w:r>
      <w:r>
        <w:rPr>
          <w:rFonts w:ascii="Calibri" w:hAnsi="Calibri" w:eastAsia="Calibri" w:cs="Calibri"/>
          <w:color w:val="000000"/>
          <w:sz w:val="22"/>
          <w:szCs w:val="22"/>
        </w:rPr>
        <w:t xml:space="preserve">(De Klerk, 1978) and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(De Klerk, 1980), which were studied under laboratory and field conditions and showed great similarity. The biology of the other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has not been studied. </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the data for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it is assumed for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that: the cysts would occur mostly at a depth of 46-60 cm, in the zone of greatest root abundance, but could occur as deep as 120 cm; &lt;20% of cysts would develop into adult females annually, emerging between the end of November and the beginning of March; eggs would be laid in clusters in the soil close to grapevine roots, in pockets lined with secreted wax filaments, and they would hatch after 34-43 days; newly hatched nymphs would disperse through the soil and attach by their mouthparts to rootlets 0.5-1.2 m below the soil surface to feed; nymphs would become sessile and moult to the legless second-instar nymphal cyst stage, which grows before secreting a protective waxy covering and going through multiple moults to form a pearl-like, dormant non-feeding cyst which is resistant to unfavourable conditions. Cysts would remain attached to the roots by the long mouthparts (de Klerk, 2017) and could remain viable in the soil for several years; their maximum longevity is not known.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including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Infested vines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infestation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Pylloxeridae), but in the case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appearance of the eggs has not been documented (de Klerk, 1978). They are likely to be similar to those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which are each 0.43-0.60 mm long, smooth, glossy-white, elongated, with one end more rounded than the other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appearance of the first-instar nymphs has not been documented (de Klerk, 1978). They are likely to be similar to those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in which first-instar nymphs are creamy white, elongate, 0.84-0.91 mm long, with antennae and legs clearly visible under the dissection microscope (Jakubski, 1965;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 second-instar cysts (ground pearls) are small and approximately spherical, up to 2.5 mm in diameter, amber yellow to deep bronze-coloured (Jakubski, 1965) or white to amber yellow, thin-walled and hard, almost smooth but with transverse lines on ventral surface (de Klerk, 1978). When the hard outer layers are removed, the insect within is bright white. The slide-mounted cyst has 6 pairs of abdominal spiracles, all about the same size; cicatrices number only 2 or 3 on each side, between the anus and the last pair of abdominal spiracles (de Klerk 1978). For detailed morphological description and illustration of the cyst stage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see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Jakubski (1965) and de Klerk (1978), the ovoid, white to amber yellow adult females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are each about 2.5-3.0 mm long and about 2.5 mm wide, with abdominal segmentation clearly visible on both surfaces; body with setae relatively sparse on dorsum, more numerous on venter; they have characteristic enlarged fossorial (digging) forelegs with heavily sclerotised dark-brown claws, and 6 pairs of abdominal spiracles. Multilocular pores irregularly dispersed over marginal and median areas of both surfaces of head, thorax and abdomen; spines sharply pointed, dorsally absent from medial areas but sparsely present on marginal areas of metathorax and abdomen present on margins and mid-venter of the thorax and abdomen; spines on marginal areas of venter sparse on the metathorax and becoming fewer posteriorly, whereas in medial areas they are few on the metathorax but become more numerous posteriorly (de Klerk, 1978). For detailed morphological description and illustration of the adult female stage, see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Being parthenogenetic, this species does not produce any males.</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females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The adult female of the South American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is described by Jakubski (1965) but there is no key provided to identify the species so it is very difficult to use for identification purposes. Foldi &amp; Soria (1989) provide descriptions and illustrations of the adult female and cyst stage of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but no identification key.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Adult female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do not appear at the soil surface because they do not need to mate (de Klerk, 1978, 2017). To confirm the presence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it is necessary to dig down to the main concentration of vine roots (between 0.5-1.2 m depth), where the roots and the soil closely surrounding them should be examined.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or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may be responsible for the damage. If root galls are not found, the inspection should look for white to amber yellow or deep bronze-coloured, subspherical cysts each up to 2.5 mm in diameter, almost smooth but with transverse lines on ventral surface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1982; Watson, 2022). Cysts attached to roots or free in the soil are present throughout the year and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(EPPO, 2018) have been developed. EPPO (2007) mainly covers a diagnostic protocol for </w:t>
      </w:r>
      <w:r>
        <w:rPr>
          <w:rFonts w:ascii="Calibri" w:hAnsi="Calibri" w:eastAsia="Calibri" w:cs="Calibri"/>
          <w:i/>
          <w:iCs/>
          <w:color w:val="000000"/>
          <w:sz w:val="22"/>
          <w:szCs w:val="22"/>
        </w:rPr>
        <w:t xml:space="preserve">Margarodes prieskaensis, M. vitis</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 </w:t>
      </w:r>
      <w:r>
        <w:rPr>
          <w:rFonts w:ascii="Calibri" w:hAnsi="Calibri" w:eastAsia="Calibri" w:cs="Calibri"/>
          <w:color w:val="000000"/>
          <w:sz w:val="22"/>
          <w:szCs w:val="22"/>
        </w:rPr>
        <w:t xml:space="preserve">but also provides detection and identification methods for </w:t>
      </w:r>
      <w:r>
        <w:rPr>
          <w:rFonts w:ascii="Calibri" w:hAnsi="Calibri" w:eastAsia="Calibri" w:cs="Calibri"/>
          <w:i/>
          <w:iCs/>
          <w:color w:val="000000"/>
          <w:sz w:val="22"/>
          <w:szCs w:val="22"/>
        </w:rPr>
        <w:t xml:space="preserve">M. greeni </w:t>
      </w:r>
      <w:r>
        <w:rPr>
          <w:rFonts w:ascii="Calibri" w:hAnsi="Calibri" w:eastAsia="Calibri" w:cs="Calibri"/>
          <w:color w:val="000000"/>
          <w:sz w:val="22"/>
          <w:szCs w:val="22"/>
        </w:rPr>
        <w:t xml:space="preserve">based on morphology (see also Morphology above); Watson (2022) provides identification keys to immature cysts and adult females.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of </w:t>
      </w:r>
      <w:r>
        <w:rPr>
          <w:rFonts w:ascii="Calibri" w:hAnsi="Calibri" w:eastAsia="Calibri" w:cs="Calibri"/>
          <w:i/>
          <w:iCs/>
          <w:color w:val="000000"/>
          <w:sz w:val="22"/>
          <w:szCs w:val="22"/>
        </w:rPr>
        <w:t xml:space="preserve">M. greeni </w:t>
      </w:r>
      <w:r>
        <w:rPr>
          <w:rFonts w:ascii="Calibri" w:hAnsi="Calibri" w:eastAsia="Calibri" w:cs="Calibri"/>
          <w:color w:val="000000"/>
          <w:sz w:val="22"/>
          <w:szCs w:val="22"/>
        </w:rPr>
        <w:t xml:space="preserve">is extremely limited due to the subterranean habit of the insect; the first-instar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data available on the actual economic impact of </w:t>
      </w:r>
      <w:r>
        <w:rPr>
          <w:rFonts w:ascii="Calibri" w:hAnsi="Calibri" w:eastAsia="Calibri" w:cs="Calibri"/>
          <w:i/>
          <w:iCs/>
          <w:color w:val="000000"/>
          <w:sz w:val="22"/>
          <w:szCs w:val="22"/>
        </w:rPr>
        <w:t xml:space="preserve">M. greeni. </w:t>
      </w:r>
      <w:r>
        <w:rPr>
          <w:rFonts w:ascii="Calibri" w:hAnsi="Calibri" w:eastAsia="Calibri" w:cs="Calibri"/>
          <w:color w:val="000000"/>
          <w:sz w:val="22"/>
          <w:szCs w:val="22"/>
        </w:rPr>
        <w:t xml:space="preserve">Ground pearls devitalize the host directly by sap and nutrient depletion,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vines sometimes die within five or six years (de Klerk, 2017). Infestation of vines stressed by drought or nematode infestation can result in them dying in patches. The pest is difficult to control due to its subterranean habit and even after an interval of several years, vineyards replanted in infested soils are readily reinfested. Once infested, land may become unsuitable for commercial vineyard cultivation indefinitely (de Klerk, 1978,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many European and American varieties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have been tested, no resistant cultivars have been found; nor have any natural enemies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been documented. Consequently, the only possible control has been with insecticides, which presents technical problems because the target insects live 0.5-1.2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As cysts can survive in the soil for years without feeding and only a certain percentage of cysts annually develop into adult females (de Klerk, 1978), follow-up treatments in successive years are essential. Fumigation for nematodes before planting could reduce numbers of females if done at the time when the females are active (but this method is not officially registered). After first treatments, annual re-evaluation of pest presence is necessary to decide on the need for any follow-up treatments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greeni</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probably lasts longer than one year (de Klerk, 2017). However, since the native hosts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are not known, there is uncertainty as to what type of annual crops would not serve as hosts for the ground pearls.</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is a parthenogenetic species, there is no sex pheromone to exploit to monitor population levels by trapping males.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greeni </w:t>
      </w:r>
      <w:r>
        <w:rPr>
          <w:rFonts w:ascii="Calibri" w:hAnsi="Calibri" w:eastAsia="Calibri" w:cs="Calibri"/>
          <w:color w:val="000000"/>
          <w:sz w:val="22"/>
          <w:szCs w:val="22"/>
        </w:rPr>
        <w:t xml:space="preserve">occurs widely in </w:t>
      </w:r>
      <w:r>
        <w:rPr>
          <w:rFonts w:ascii="Calibri" w:hAnsi="Calibri" w:eastAsia="Calibri" w:cs="Calibri"/>
          <w:i/>
          <w:iCs/>
          <w:color w:val="000000"/>
          <w:sz w:val="22"/>
          <w:szCs w:val="22"/>
        </w:rPr>
        <w:t xml:space="preserve">the Western Cape province</w:t>
      </w:r>
      <w:r>
        <w:rPr>
          <w:rFonts w:ascii="Calibri" w:hAnsi="Calibri" w:eastAsia="Calibri" w:cs="Calibri"/>
          <w:color w:val="000000"/>
          <w:sz w:val="22"/>
          <w:szCs w:val="22"/>
        </w:rPr>
        <w:t xml:space="preserve"> of South Africa</w:t>
      </w:r>
      <w:r>
        <w:rPr>
          <w:rFonts w:ascii="Calibri" w:hAnsi="Calibri" w:eastAsia="Calibri" w:cs="Calibri"/>
          <w:i/>
          <w:iCs/>
          <w:color w:val="000000"/>
          <w:sz w:val="22"/>
          <w:szCs w:val="22"/>
        </w:rPr>
        <w:t xml:space="preserve">, including Vredendal and Lutzville along the West Coast, Piketberg, Malmesbury, Paarl and Stellenbosch in the southwestern Cape, Ceres, Worcester, Robertson and Montagu</w:t>
      </w:r>
      <w:r>
        <w:rPr>
          <w:rFonts w:ascii="Calibri" w:hAnsi="Calibri" w:eastAsia="Calibri" w:cs="Calibri"/>
          <w:color w:val="000000"/>
          <w:sz w:val="22"/>
          <w:szCs w:val="22"/>
        </w:rPr>
        <w:t xml:space="preserve">, where the climate varies with altitude between hot, arid desert (Köppen-Geiger climate type BWh), warm, dry temperate (Csa and Csb) and cold, arid steppe (BSk; based on De Klerk, 1978).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would be able to establish in the EPPO region (EFSA, 2019), particularly in drier Mediterranean areas. </w:t>
      </w:r>
      <w:r>
        <w:rPr>
          <w:rFonts w:ascii="Calibri" w:hAnsi="Calibri" w:eastAsia="Calibri" w:cs="Calibri"/>
          <w:i/>
          <w:iCs/>
          <w:color w:val="000000"/>
          <w:sz w:val="22"/>
          <w:szCs w:val="22"/>
        </w:rPr>
        <w:t xml:space="preserve">M. greeni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 /2072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for the whole country) or in a pest-free place/site of production for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Rooted grapevine plant material destined for export from South Africa has to be treated with both hot water and insecticide before shipment, to reduce the risk of infestation, and additional treatments are sometimes required on arrival in the country of destination.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Brain CK (1915) The Coccidae of South Africa. </w:t>
      </w:r>
      <w:r>
        <w:rPr>
          <w:rFonts w:ascii="Calibri" w:hAnsi="Calibri" w:eastAsia="Calibri" w:cs="Calibri"/>
          <w:i/>
          <w:iCs/>
          <w:color w:val="000000"/>
          <w:sz w:val="22"/>
          <w:szCs w:val="22"/>
        </w:rPr>
        <w:t xml:space="preserve">Transactions of the Royal Society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65-194.</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26766ac6829d2f297"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49296ac6829d2f350"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w:t>
      </w:r>
      <w:r>
        <w:rPr>
          <w:rFonts w:ascii="Calibri" w:hAnsi="Calibri" w:eastAsia="Calibri" w:cs="Calibri"/>
          <w:color w:val="000000"/>
          <w:sz w:val="22"/>
          <w:szCs w:val="22"/>
        </w:rPr>
        <w:t xml:space="preserve">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from: </w:t>
      </w:r>
      <w:hyperlink r:id="rId18216ac6829d2f3f6"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330–349. Available from: </w:t>
      </w:r>
      <w:hyperlink r:id="rId44436ac6829d2f495"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84566ac6829d2f4d7"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14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(1978) </w:t>
      </w:r>
      <w:r>
        <w:rPr>
          <w:rFonts w:ascii="Calibri" w:hAnsi="Calibri" w:eastAsia="Calibri" w:cs="Calibri"/>
          <w:i/>
          <w:iCs/>
          <w:color w:val="000000"/>
          <w:sz w:val="22"/>
          <w:szCs w:val="22"/>
        </w:rPr>
        <w:t xml:space="preserve">Morphology and taxonomy of the South African species of the genus Margarodes (Hemiptera: Margarodidea), with detailed studies on the biology of two vine infesting species. PhD thesis</w:t>
      </w:r>
      <w:r>
        <w:rPr>
          <w:rFonts w:ascii="Calibri" w:hAnsi="Calibri" w:eastAsia="Calibri" w:cs="Calibri"/>
          <w:color w:val="000000"/>
          <w:sz w:val="22"/>
          <w:szCs w:val="22"/>
        </w:rPr>
        <w:t xml:space="preserve">, Stellenbosch University, South Africa. </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(1980) Biology of</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Margarodes vredendalensis </w:t>
      </w:r>
      <w:r>
        <w:rPr>
          <w:rFonts w:ascii="Calibri" w:hAnsi="Calibri" w:eastAsia="Calibri" w:cs="Calibri"/>
          <w:color w:val="000000"/>
          <w:sz w:val="22"/>
          <w:szCs w:val="22"/>
        </w:rPr>
        <w:t xml:space="preserve">De Klerk (Coccoidea: Margarodiae)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Viticulture research, Winetech Technical, available at </w:t>
      </w:r>
      <w:hyperlink r:id="rId79936ac6829d2f6a6"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3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Foldi I &amp; Soria SJ (1989) Les cochenilles nuisibles à la vigne en Amérique du Sud (Homoptera: Coccoidea). </w:t>
      </w:r>
      <w:r>
        <w:rPr>
          <w:rFonts w:ascii="Calibri" w:hAnsi="Calibri" w:eastAsia="Calibri" w:cs="Calibri"/>
          <w:i/>
          <w:iCs/>
          <w:color w:val="000000"/>
          <w:sz w:val="22"/>
          <w:szCs w:val="22"/>
        </w:rPr>
        <w:t xml:space="preserve">Annales de la Société entomologique de France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411-430.</w:t>
      </w:r>
    </w:p>
    <w:p>
      <w:pPr>
        <w:widowControl w:val="on"/>
        <w:pBdr/>
        <w:spacing w:before="220" w:after="220" w:line="240" w:lineRule="auto"/>
        <w:ind w:left="0" w:right="0"/>
        <w:jc w:val="left"/>
      </w:pPr>
      <w:r>
        <w:rPr>
          <w:rFonts w:ascii="Calibri" w:hAnsi="Calibri" w:eastAsia="Calibri" w:cs="Calibri"/>
          <w:color w:val="000000"/>
          <w:sz w:val="22"/>
          <w:szCs w:val="22"/>
        </w:rPr>
        <w:t xml:space="preserve">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Trustees of the British Museum (Natural History)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archaeococcoid families.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Elleunorah Allsopp, ARC Infruitec-Nietvoorbij Fruit, Vine and Wine Institute, South Africa, and Gillian W. Watson, Natural History Museum, London, UK.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greeni</w:t>
      </w:r>
      <w:r>
        <w:rPr>
          <w:rFonts w:ascii="Calibri" w:hAnsi="Calibri" w:eastAsia="Calibri" w:cs="Calibri"/>
          <w:color w:val="000000"/>
          <w:sz w:val="22"/>
          <w:szCs w:val="22"/>
        </w:rPr>
        <w:t xml:space="preserve">. EPPO datasheets on pests recommended for regulation. Available online. </w:t>
      </w:r>
      <w:hyperlink r:id="rId25156ac6829d2f97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4028439" name="name15156ac6829d2fa1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6236ac6829d2fa1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04436">
    <w:multiLevelType w:val="hybridMultilevel"/>
    <w:lvl w:ilvl="0" w:tplc="37659535">
      <w:start w:val="1"/>
      <w:numFmt w:val="decimal"/>
      <w:lvlText w:val="%1."/>
      <w:lvlJc w:val="left"/>
      <w:pPr>
        <w:ind w:left="720" w:hanging="360"/>
      </w:pPr>
    </w:lvl>
    <w:lvl w:ilvl="1" w:tplc="37659535" w:tentative="1">
      <w:start w:val="1"/>
      <w:numFmt w:val="lowerLetter"/>
      <w:lvlText w:val="%2."/>
      <w:lvlJc w:val="left"/>
      <w:pPr>
        <w:ind w:left="1440" w:hanging="360"/>
      </w:pPr>
    </w:lvl>
    <w:lvl w:ilvl="2" w:tplc="37659535" w:tentative="1">
      <w:start w:val="1"/>
      <w:numFmt w:val="lowerRoman"/>
      <w:lvlText w:val="%3."/>
      <w:lvlJc w:val="right"/>
      <w:pPr>
        <w:ind w:left="2160" w:hanging="180"/>
      </w:pPr>
    </w:lvl>
    <w:lvl w:ilvl="3" w:tplc="37659535" w:tentative="1">
      <w:start w:val="1"/>
      <w:numFmt w:val="decimal"/>
      <w:lvlText w:val="%4."/>
      <w:lvlJc w:val="left"/>
      <w:pPr>
        <w:ind w:left="2880" w:hanging="360"/>
      </w:pPr>
    </w:lvl>
    <w:lvl w:ilvl="4" w:tplc="37659535" w:tentative="1">
      <w:start w:val="1"/>
      <w:numFmt w:val="lowerLetter"/>
      <w:lvlText w:val="%5."/>
      <w:lvlJc w:val="left"/>
      <w:pPr>
        <w:ind w:left="3600" w:hanging="360"/>
      </w:pPr>
    </w:lvl>
    <w:lvl w:ilvl="5" w:tplc="37659535" w:tentative="1">
      <w:start w:val="1"/>
      <w:numFmt w:val="lowerRoman"/>
      <w:lvlText w:val="%6."/>
      <w:lvlJc w:val="right"/>
      <w:pPr>
        <w:ind w:left="4320" w:hanging="180"/>
      </w:pPr>
    </w:lvl>
    <w:lvl w:ilvl="6" w:tplc="37659535" w:tentative="1">
      <w:start w:val="1"/>
      <w:numFmt w:val="decimal"/>
      <w:lvlText w:val="%7."/>
      <w:lvlJc w:val="left"/>
      <w:pPr>
        <w:ind w:left="5040" w:hanging="360"/>
      </w:pPr>
    </w:lvl>
    <w:lvl w:ilvl="7" w:tplc="37659535" w:tentative="1">
      <w:start w:val="1"/>
      <w:numFmt w:val="lowerLetter"/>
      <w:lvlText w:val="%8."/>
      <w:lvlJc w:val="left"/>
      <w:pPr>
        <w:ind w:left="5760" w:hanging="360"/>
      </w:pPr>
    </w:lvl>
    <w:lvl w:ilvl="8" w:tplc="37659535" w:tentative="1">
      <w:start w:val="1"/>
      <w:numFmt w:val="lowerRoman"/>
      <w:lvlText w:val="%9."/>
      <w:lvlJc w:val="right"/>
      <w:pPr>
        <w:ind w:left="6480" w:hanging="180"/>
      </w:pPr>
    </w:lvl>
  </w:abstractNum>
  <w:abstractNum w:abstractNumId="20204435">
    <w:multiLevelType w:val="hybridMultilevel"/>
    <w:lvl w:ilvl="0" w:tplc="42275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04435">
    <w:abstractNumId w:val="20204435"/>
  </w:num>
  <w:num w:numId="20204436">
    <w:abstractNumId w:val="2020443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0427601" Type="http://schemas.microsoft.com/office/2011/relationships/commentsExtended" Target="commentsExtended.xml"/><Relationship Id="rId660756127" Type="http://schemas.microsoft.com/office/2011/relationships/people" Target="people.xml"/><Relationship Id="rId83946ac6829d2ce51" Type="http://schemas.openxmlformats.org/officeDocument/2006/relationships/hyperlink" Target="https://gd.eppo.int/taxon/MARGGR/" TargetMode="External"/><Relationship Id="rId98956ac6829d2ce99" Type="http://schemas.openxmlformats.org/officeDocument/2006/relationships/hyperlink" Target="https://gd.eppo.int/taxon/MARGGR/categorization" TargetMode="External"/><Relationship Id="rId21996ac6829d2d0cb" Type="http://schemas.openxmlformats.org/officeDocument/2006/relationships/hyperlink" Target="https://gd.eppo.int/taxon/MARGGR/photos" TargetMode="External"/><Relationship Id="rId26766ac6829d2f297" Type="http://schemas.openxmlformats.org/officeDocument/2006/relationships/hyperlink" Target="https://efsa.onlinelibrary.wiley.com/doi/epdf/10.2903/j.efsa.2019.5672" TargetMode="External"/><Relationship Id="rId49296ac6829d2f350" Type="http://schemas.openxmlformats.org/officeDocument/2006/relationships/hyperlink" Target="https://gd.eppo.int/download/standard/206/pm7-082-1-en.pdf" TargetMode="External"/><Relationship Id="rId18216ac6829d2f3f6" Type="http://schemas.openxmlformats.org/officeDocument/2006/relationships/hyperlink" Target="https://onlinelibrary.wiley.com/doi/epdf/10.1111/epp.12340" TargetMode="External"/><Relationship Id="rId44436ac6829d2f495" Type="http://schemas.openxmlformats.org/officeDocument/2006/relationships/hyperlink" Target="https://gd.eppo.int/download/standard/738/pm3-085-1-en.pdf" TargetMode="External"/><Relationship Id="rId84566ac6829d2f4d7" Type="http://schemas.openxmlformats.org/officeDocument/2006/relationships/hyperlink" Target="https://eur-lex.europa.eu/legal-content/EN/TXT/?uri=CELEX%3A32019R2072" TargetMode="External"/><Relationship Id="rId79936ac6829d2f6a6" Type="http://schemas.openxmlformats.org/officeDocument/2006/relationships/hyperlink" Target="https://www.wineland.co.za/identification-control-management-grapevine-margarodes/" TargetMode="External"/><Relationship Id="rId25156ac6829d2f974" Type="http://schemas.openxmlformats.org/officeDocument/2006/relationships/hyperlink" Target="https://gd.eppo.int" TargetMode="External"/><Relationship Id="rId22506ac6829d2cf7f" Type="http://schemas.openxmlformats.org/officeDocument/2006/relationships/image" Target="media/imgrId22506ac6829d2cf7f.jpg"/><Relationship Id="rId68606ac6829d2e168" Type="http://schemas.openxmlformats.org/officeDocument/2006/relationships/image" Target="media/imgrId68606ac6829d2e168.jpg"/><Relationship Id="rId96236ac6829d2fa10" Type="http://schemas.openxmlformats.org/officeDocument/2006/relationships/image" Target="media/imgrId96236ac6829d2fa1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