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Lymantria mathura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mathura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fusca</w:t>
            </w:r>
            <w:r>
              <w:rPr>
                <w:rFonts w:ascii="Calibri" w:hAnsi="Calibri" w:eastAsia="Calibri" w:cs="Calibri"/>
                <w:color w:val="000000"/>
                <w:position w:val="-3"/>
                <w:sz w:val="22"/>
                <w:szCs w:val="22"/>
              </w:rPr>
              <w:t xml:space="preserve"> Leech, </w:t>
            </w:r>
            <w:r>
              <w:rPr>
                <w:rFonts w:ascii="Calibri" w:hAnsi="Calibri" w:eastAsia="Calibri" w:cs="Calibri"/>
                <w:i/>
                <w:iCs/>
                <w:color w:val="000000"/>
                <w:position w:val="-3"/>
                <w:sz w:val="22"/>
                <w:szCs w:val="22"/>
              </w:rPr>
              <w:t xml:space="preserve">Lymantria mathura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mathura subpallida</w:t>
            </w:r>
            <w:r>
              <w:rPr>
                <w:rFonts w:ascii="Calibri" w:hAnsi="Calibri" w:eastAsia="Calibri" w:cs="Calibri"/>
                <w:color w:val="000000"/>
                <w:position w:val="-3"/>
                <w:sz w:val="22"/>
                <w:szCs w:val="22"/>
              </w:rPr>
              <w:t xml:space="preserve"> Okano, </w:t>
            </w:r>
            <w:r>
              <w:rPr>
                <w:rFonts w:ascii="Calibri" w:hAnsi="Calibri" w:eastAsia="Calibri" w:cs="Calibri"/>
                <w:i/>
                <w:iCs/>
                <w:color w:val="000000"/>
                <w:position w:val="-3"/>
                <w:sz w:val="22"/>
                <w:szCs w:val="22"/>
              </w:rPr>
              <w:t xml:space="preserve">Ocneria mathura</w:t>
            </w:r>
            <w:r>
              <w:rPr>
                <w:rFonts w:ascii="Calibri" w:hAnsi="Calibri" w:eastAsia="Calibri" w:cs="Calibri"/>
                <w:color w:val="000000"/>
                <w:position w:val="-3"/>
                <w:sz w:val="22"/>
                <w:szCs w:val="22"/>
              </w:rPr>
              <w:t xml:space="preserve"> (Moore), </w:t>
            </w:r>
            <w:r>
              <w:rPr>
                <w:rFonts w:ascii="Calibri" w:hAnsi="Calibri" w:eastAsia="Calibri" w:cs="Calibri"/>
                <w:i/>
                <w:iCs/>
                <w:color w:val="000000"/>
                <w:position w:val="-3"/>
                <w:sz w:val="22"/>
                <w:szCs w:val="22"/>
              </w:rPr>
              <w:t xml:space="preserve">Porthetria mathura</w:t>
            </w:r>
            <w:r>
              <w:rPr>
                <w:rFonts w:ascii="Calibri" w:hAnsi="Calibri" w:eastAsia="Calibri" w:cs="Calibri"/>
                <w:color w:val="000000"/>
                <w:position w:val="-3"/>
                <w:sz w:val="22"/>
                <w:szCs w:val="22"/>
              </w:rPr>
              <w:t xml:space="preserve"> (Moore)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pink gypsy moth, rosy gypsy moth</w:t>
            </w:r>
            <w:hyperlink r:id="rId7485693ed7bad71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363693ed7bad720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LYMAMA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698117" name="name7111693ed7bad7747" descr="15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06.jpg"/>
                          <pic:cNvPicPr/>
                        </pic:nvPicPr>
                        <pic:blipFill>
                          <a:blip r:embed="rId3108693ed7bad7745" cstate="print"/>
                          <a:stretch>
                            <a:fillRect/>
                          </a:stretch>
                        </pic:blipFill>
                        <pic:spPr>
                          <a:xfrm>
                            <a:off x="0" y="0"/>
                            <a:ext cx="2160000" cy="1281600"/>
                          </a:xfrm>
                          <a:prstGeom prst="rect">
                            <a:avLst/>
                          </a:prstGeom>
                          <a:ln w="0">
                            <a:noFill/>
                          </a:ln>
                        </pic:spPr>
                      </pic:pic>
                    </a:graphicData>
                  </a:graphic>
                </wp:inline>
              </w:drawing>
            </w:r>
            <w:hyperlink r:id="rId4559693ed7bad78b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consider subspecies, i.e. </w:t>
      </w:r>
      <w:r>
        <w:rPr>
          <w:rFonts w:ascii="Calibri" w:hAnsi="Calibri" w:eastAsia="Calibri" w:cs="Calibri"/>
          <w:i/>
          <w:iCs/>
          <w:color w:val="000000"/>
          <w:sz w:val="22"/>
          <w:szCs w:val="22"/>
        </w:rPr>
        <w:t xml:space="preserve">L. mathura aurora</w:t>
      </w:r>
      <w:r>
        <w:rPr>
          <w:rFonts w:ascii="Calibri" w:hAnsi="Calibri" w:eastAsia="Calibri" w:cs="Calibri"/>
          <w:color w:val="000000"/>
          <w:sz w:val="22"/>
          <w:szCs w:val="22"/>
        </w:rPr>
        <w:t xml:space="preserve"> from Japan, the Republic of Korea and the Russian Far East and </w:t>
      </w:r>
      <w:r>
        <w:rPr>
          <w:rFonts w:ascii="Calibri" w:hAnsi="Calibri" w:eastAsia="Calibri" w:cs="Calibri"/>
          <w:i/>
          <w:iCs/>
          <w:color w:val="000000"/>
          <w:sz w:val="22"/>
          <w:szCs w:val="22"/>
        </w:rPr>
        <w:t xml:space="preserve">L. mathura subpallida</w:t>
      </w:r>
      <w:r>
        <w:rPr>
          <w:rFonts w:ascii="Calibri" w:hAnsi="Calibri" w:eastAsia="Calibri" w:cs="Calibri"/>
          <w:color w:val="000000"/>
          <w:sz w:val="22"/>
          <w:szCs w:val="22"/>
        </w:rPr>
        <w:t xml:space="preserve"> from Taiwan (Inoue, 1957; Roonwal, 1979; Kuznetsov, 1999;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Taiwan Insects, 2023), but in the present datasheet, they have been provisionally treated as synonymous.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polyphagous species attacking many species of </w:t>
      </w:r>
      <w:r>
        <w:rPr>
          <w:rFonts w:ascii="Calibri" w:hAnsi="Calibri" w:eastAsia="Calibri" w:cs="Calibri"/>
          <w:i/>
          <w:iCs/>
          <w:color w:val="000000"/>
          <w:sz w:val="22"/>
          <w:szCs w:val="22"/>
        </w:rPr>
        <w:t xml:space="preserve">Carpinus, Castanea, Juglans, Malus, Quercus, Shorea, Ulmus</w:t>
      </w:r>
      <w:r>
        <w:rPr>
          <w:rFonts w:ascii="Calibri" w:hAnsi="Calibri" w:eastAsia="Calibri" w:cs="Calibri"/>
          <w:color w:val="000000"/>
          <w:sz w:val="22"/>
          <w:szCs w:val="22"/>
        </w:rPr>
        <w:t xml:space="preserve"> and other deciduous trees. 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known to feed on woody plants from at least 23 families: Anacardiaceae, Apocynaceae, Betulaceae, Celastraceae, Combretaceae, Dipterocarpaceae, Euphorbiaceae, Fabaceae, Fagaceae, Juglandaceae, Lecythidaceae, Lythraceae, Malvaceae, Meliaceae, Moraceae, Myrtaceae, Oleaceae, Pinaceae, Rosaceae, Rubiaceae, Salicaceae, Sapindaceae, Ulmaceae, including approximately 60 woody plant species in nature and has shown the ability to feed on at least 22 other species in laboratory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its preferred hosts are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japonica, Salix arbutifolia</w:t>
      </w:r>
      <w:r>
        <w:rPr>
          <w:rFonts w:ascii="Calibri" w:hAnsi="Calibri" w:eastAsia="Calibri" w:cs="Calibri"/>
          <w:color w:val="000000"/>
          <w:sz w:val="22"/>
          <w:szCs w:val="22"/>
        </w:rPr>
        <w:t xml:space="preserve"> (Kuznetsov, 1999; Yurchenko &amp; Turova, 2002;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In the wild, larvae were also found feeding on </w:t>
      </w:r>
      <w:r>
        <w:rPr>
          <w:rFonts w:ascii="Calibri" w:hAnsi="Calibri" w:eastAsia="Calibri" w:cs="Calibri"/>
          <w:i/>
          <w:iCs/>
          <w:color w:val="000000"/>
          <w:sz w:val="22"/>
          <w:szCs w:val="22"/>
        </w:rPr>
        <w:t xml:space="preserve">Alnus japonica, Betula costata, Betula platyphylla, Crataegus maximowiczii, Salix</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Salix caprea, 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 Tilia mandshurica, Populus maximowiczii</w:t>
      </w:r>
      <w:r>
        <w:rPr>
          <w:rFonts w:ascii="Calibri" w:hAnsi="Calibri" w:eastAsia="Calibri" w:cs="Calibri"/>
          <w:color w:val="000000"/>
          <w:sz w:val="22"/>
          <w:szCs w:val="22"/>
        </w:rPr>
        <w:t xml:space="preserve"> (Yurchenko &amp; Turova, 2002). Eggs can be laid on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move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thus, do not feed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the suitability of other plants was tested in the laboratory and results were as follows, from most to least preferred host: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 tomentosa, Prunus mandshurica, Rosa rugosa, Juglans mandshurica, Crataegus maximowiczii, Prunus padus, Betula platyphylla, Corylus heterophylla, Larix gmelinii, Abies nephrolepis, Аbies holophylla, Ulmus japonica, Tilia amurensis, Populus davidiana, Acer negundo, Acer mandshuricum</w:t>
      </w:r>
      <w:r>
        <w:rPr>
          <w:rFonts w:ascii="Calibri" w:hAnsi="Calibri" w:eastAsia="Calibri" w:cs="Calibri"/>
          <w:color w:val="000000"/>
          <w:sz w:val="22"/>
          <w:szCs w:val="22"/>
        </w:rPr>
        <w:t xml:space="preserve"> (Yurchenko &amp; Turova, 2002). In indoor experiments, neonate larvae did not feed on </w:t>
      </w:r>
      <w:r>
        <w:rPr>
          <w:rFonts w:ascii="Calibri" w:hAnsi="Calibri" w:eastAsia="Calibri" w:cs="Calibri"/>
          <w:i/>
          <w:iCs/>
          <w:color w:val="000000"/>
          <w:sz w:val="22"/>
          <w:szCs w:val="22"/>
        </w:rPr>
        <w:t xml:space="preserve">Betula davurica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thus, these plants cannot be considered as hosts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major pest of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Besides, it can notably damage five other highly susceptible hosts: </w:t>
      </w:r>
      <w:r>
        <w:rPr>
          <w:rFonts w:ascii="Calibri" w:hAnsi="Calibri" w:eastAsia="Calibri" w:cs="Calibri"/>
          <w:i/>
          <w:iCs/>
          <w:color w:val="000000"/>
          <w:sz w:val="22"/>
          <w:szCs w:val="22"/>
        </w:rPr>
        <w:t xml:space="preserve">Syzygium cumini, Acrocarpus fraxinifolius, Mangifera indica, Quercus incana, Terminalia myriocarpa</w:t>
      </w:r>
      <w:r>
        <w:rPr>
          <w:rFonts w:ascii="Calibri" w:hAnsi="Calibri" w:eastAsia="Calibri" w:cs="Calibri"/>
          <w:color w:val="000000"/>
          <w:sz w:val="22"/>
          <w:szCs w:val="22"/>
        </w:rPr>
        <w:t xml:space="preserve">. In this country,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damage other 30 woody plant species, which are not present or not recorded as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w:t>
      </w:r>
      <w:r>
        <w:rPr>
          <w:rFonts w:ascii="Calibri" w:hAnsi="Calibri" w:eastAsia="Calibri" w:cs="Calibri"/>
          <w:i/>
          <w:iCs/>
          <w:color w:val="000000"/>
          <w:sz w:val="22"/>
          <w:szCs w:val="22"/>
        </w:rPr>
        <w:t xml:space="preserve">Adina cordifolia, Alstonia scholaris, Aphanamixis polystachya, Artocarpus lacucha, Butea monosperma, Castanea sativa, Duabanga grandiflora, Elaeodendron glaucum, Ficus benghalensis, Grewia sapida, Litchi chinensis, Mallotus philippinensis, Melia azedarach, Morus alba, Neolamarckia cadamba, Pongamia glabra, Prunus cerasoides, Pterygota alata, Quercus leucotrichophora, Quercus serrata, Terminalia anogeissiana, Terminalia arjuna, Terminalia bellirica, Terminalia elliptica, Terminalia pyrifolia</w:t>
      </w:r>
      <w:r>
        <w:rPr>
          <w:rFonts w:ascii="Calibri" w:hAnsi="Calibri" w:eastAsia="Calibri" w:cs="Calibri"/>
          <w:color w:val="000000"/>
          <w:sz w:val="22"/>
          <w:szCs w:val="22"/>
        </w:rPr>
        <w:t xml:space="preserve">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India, during outbreaks, eggs were detected on at least 185 species of woody plants from 47 families, including many plant species which are not known to be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the list of these plants is given in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is reported to feed on </w:t>
      </w:r>
      <w:r>
        <w:rPr>
          <w:rFonts w:ascii="Calibri" w:hAnsi="Calibri" w:eastAsia="Calibri" w:cs="Calibri"/>
          <w:i/>
          <w:iCs/>
          <w:color w:val="000000"/>
          <w:sz w:val="22"/>
          <w:szCs w:val="22"/>
        </w:rPr>
        <w:t xml:space="preserve">Toxicodendron succedaneum, Zelkova serrata</w:t>
      </w:r>
      <w:r>
        <w:rPr>
          <w:rFonts w:ascii="Calibri" w:hAnsi="Calibri" w:eastAsia="Calibri" w:cs="Calibri"/>
          <w:color w:val="000000"/>
          <w:sz w:val="22"/>
          <w:szCs w:val="22"/>
        </w:rPr>
        <w:t xml:space="preserve"> (Inoue, 1957), but most damage occurs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(Roonwal, 1979). An indoor study of the suitability of North American, Asian, and European tree species (24 broad-leaved and conifer species) showed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develops well on most plants of the family Fagaceae regardless of the plant species’ origin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Survival and rate of development on the European species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and the American species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were equivalent to those on the Asian species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Overall, in laboratory tests the survival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(second and third instars) on Fagaceae was higher than on woody plants of other families (Juglandaceae, Betulaceae, Oleaceae, Aceraceae, Pinaceae)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The survival was relatively high on the American species </w:t>
      </w:r>
      <w:r>
        <w:rPr>
          <w:rFonts w:ascii="Calibri" w:hAnsi="Calibri" w:eastAsia="Calibri" w:cs="Calibri"/>
          <w:i/>
          <w:iCs/>
          <w:color w:val="000000"/>
          <w:sz w:val="22"/>
          <w:szCs w:val="22"/>
        </w:rPr>
        <w:t xml:space="preserve">Quercus variabilis, 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prinus</w:t>
      </w:r>
      <w:r>
        <w:rPr>
          <w:rFonts w:ascii="Calibri" w:hAnsi="Calibri" w:eastAsia="Calibri" w:cs="Calibri"/>
          <w:color w:val="000000"/>
          <w:sz w:val="22"/>
          <w:szCs w:val="22"/>
        </w:rPr>
        <w:t xml:space="preserve"> (Zlotina, 1999). Other American oaks, such as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gave moderate survival and supported further development of only a small proportion of larvae. The Asian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the American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and the American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were similar. On the other studied trees, the American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the European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two American </w:t>
      </w:r>
      <w:r>
        <w:rPr>
          <w:rFonts w:ascii="Calibri" w:hAnsi="Calibri" w:eastAsia="Calibri" w:cs="Calibri"/>
          <w:i/>
          <w:iCs/>
          <w:color w:val="000000"/>
          <w:sz w:val="22"/>
          <w:szCs w:val="22"/>
        </w:rPr>
        <w:t xml:space="preserve">Fraxinus pennsylvanica, F. americana</w:t>
      </w:r>
      <w:r>
        <w:rPr>
          <w:rFonts w:ascii="Calibri" w:hAnsi="Calibri" w:eastAsia="Calibri" w:cs="Calibri"/>
          <w:color w:val="000000"/>
          <w:sz w:val="22"/>
          <w:szCs w:val="22"/>
        </w:rPr>
        <w:t xml:space="preserve">, and various conifers, survival was poor, and no further development occurred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females can also oviposit on conifers, but there are no data showing that larvae are able to feed on conifer needles in nature (Zlotina, 1999). In the indoor test, the highest larval survival rate among conifers was observed on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(33%)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Among conifers, which provided the poorest diet for the larvae, 12%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larvae survived feeding on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very low neonate survival (i.e. &lt; 1%) was recorded on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and 100% mortality was documented on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mandshuricum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Acrocarpus fraxinifolius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Adina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Alstonia scholaris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Aphanamixis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Butea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Duabanga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Pongamia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Pterygota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leucotrichophora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anogeissiana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arjuna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calamansanai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myriocarpa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an East Palearctic species (Epova &amp; Pleshanov, 1995), or Priamursko-Manchurian species (Dubatolov &amp; Dolgikh, 2009). In Russia, the species is known in several regions of the Russian Far East: Amur Oblast, Jewish Autonomous Oblast, south of the Khabarovsk Krai, Primorsky Krai (Barbarich &amp; Dubatolov, 2012; Kuzmin, 2019), where it co-occurs with the related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Kuzmin, 2019).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was also recorded in the Kuril Islands (Inoue, 1957). Since 2012, the eastern border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expanded from the southern part in Amur Oblast (i.e. from Obluchie) towards the western part of the region to the settlement Shimanovsk, from 49°N, 131°E to 52°N 127°E (i.e. 4 degrees westwards) in eight years, whereas in the south of the region prevalence of the species went from occasional to common (Kuzmin,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also known from several East Asian countries (Inoue, 1957; Lee &amp; Lee, 1996; Kuznetsov, 1999; Pogue &amp; Schaefer, 2007; Molet, 2012;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lives in cool, temperate to warm climates with seasonal rainfall and dry periods and it is associated with temperate broadleaf and mixed forests, tropical and subtropical dry broadleaf forests, and tropical and subtropical moist broadleaf forests (Molet, 2012).</w:t>
      </w:r>
    </w:p>
    <w:p>
      <w:r>
        <w:drawing>
          <wp:inline distT="0" distB="0" distL="0" distR="0">
            <wp:extent cx="6120000" cy="3067200"/>
            <wp:docPr id="11296052" name="name4511693ed7bad9917" descr="LYMA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MAMA_distribution_map.jpg"/>
                    <pic:cNvPicPr/>
                  </pic:nvPicPr>
                  <pic:blipFill>
                    <a:blip r:embed="rId5898693ed7bad99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(Hebei, Heilongjiang, Jilin, Sichuan, Xianggang (Hong Kong), Yunnan), India (Arunachal Pradesh, Assam, Bihar, Jharkand, Madhya Pradesh, Maharashtra, Meghalaya, Nagaland, Odisha, Sikkim, Tripura, Uttarakhand, Uttar Pradesh, West Bengal), Japan (Hokkaido, Honshu, Kyushu, Ryukyu Archipelago, Shikoku), Korea, Democratic People's Republic of, Korea, Republic of, Myanmar, Nepal, Pakistan, Sri Lanka, Taiwan,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usually occur once in 4 years, a little earlier than or together with outbreaks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(Epova &amp; Pleshanov, 1995). The behaviour and the life cycle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similar to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and in particular to those of the Asian form (with ﬂying females)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biology is well studied in the Russian Far East (Zlotina, 1999;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India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univoltine or bivoltine species. In India, it has two generations: a summer generation takes place from April to October, an overwintering generation from September to June (Roonwal, 1979). Diapause happens at the egg stage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masses protected by felt-like covering (Roonwal, 1979; Kuznetsov, 1999), usually in hidden places under bark scales or in crevices making them difficult to detect (Pavlovskii &amp; Shtakelberg, 1955;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One female may lay 50–1 200 eggs, as observed in India (Roonwal, 1979), 493–580 in the outbreaking population in Primorsky Krai (Russian Far East) (Yurchenko &amp; Turova, 2002). During an outbreak, eggs are oviposited on many woody plants, which do not necessarily sustain further development of the pest (Roonwal, 1979), including conifers (Zlotina, 1999). In Primorsky Krai, females often lay eggs on the bark cracks of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crawl up the tree crown and spread on silk threads that can be carried by the wind (ballooning) to find and feed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rather than stay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Russian Far East,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been found on several occasions on ships by Canadian and American phytosanitary inspectors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of the first generation usually appear in April (in India) or the first half of May (in the Russian Far East) and continue to hatch for around 20 days (Roonwal, 1979; Zlotina, 1999). For the ﬁrst 3–5 days, they neither spread out nor feed (Zlotina, 1999; Yurchenko &amp; Turova, 2002). They remain in a dense group on the felt-like covering of egg-masses (Roonwal, 1979; Yurchenko &amp; Turova, 2002). The feeding period covers May, June and July. Larvae feed first on buds, then on leaves, preferring to stay on leaves and not on branches; some can damage young shoots and flowers (Roonwal, 1979). The most active feeding is observed in the evening and at night (Roonwal, 1979). During outbreaks, the pest population level may reach more than 1000 larvae per tree (Roonwal, 1979). The possibilities for wind dispersal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neonate larvae are greater than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because of their smaller weight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indoor experiments, neonate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howed a higher tendency to disperse than those of Asian gypsy moth,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(Zlotina, 1999). In both species, the spread of neonate larvae happens mostly between 12:00 to 17:00 (Zlotina,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summer and overwintering generations, larvae undergo from 5 to 6 instars (Roonwal, 1979). Male larvae usually have 5 instars and females 6 instars (Roonwal, 1979; Yurchenko &amp; Turova, 2002). Larval development lasts 50–60 days in India (Roonwal, 1979), 70-80 days in the Russian Far East (Yurchenko &amp; Turova, 2002). According to Roonwal (1979), larval are gregarious. In India, pupation was documented in groups of 40-50 individuals in debris at the base of trees. According to other observations in India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pupation takes place in a leaf fastened with a few strands of silk. In the Russian Far East, larvae do not stay together for pupation, i.e. they pupate singly in thin cocoons between the leaves or on branches (Kuznetsov, 1999; Yurchenko &amp; Turova, 2002). Pupal development lasts 12–18 days in India (Roonwal, 1979), 14–16 days in the Russian Far East (Kuznetsov, 1999). In India, moths emerged from the end of July to the third week of October and laid eggs from early August to the end of October (Roonwal, 1979). The flight period starts at the end of July in India and in August in the Russian Far East (Roonwal, 1979;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second generation in India, eggs are laid in autumn (early September to mid-October) and develop quickly; larvae take about six weeks to develop and pupate. The emerged adults lay darker eggs. Eggs diapause from four to five months and hatch during the next spring (April). The minimum period for this overwintering generation is about seven months. The various stages of the second generation can be observed in the field for nearly 10 months, i.e. from early September to the end of June next year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Both males and females are strong fliers, active at night and attracted to light (Roonwal, 1979; Yurchenko &amp; Turova, 2002). After oviposition females are sluggish, they do not fly away when disturbed but slowly move away (Roonwal, 1979). During outbreaks, pest population levels drastically increase, and it has been observed that over 300 moths (males and females) could be caught in 10 min in a light trap (Chelysheva &amp; Orlov, 1989; cited by Yurchenko &amp; Turova, 2002). Notably, the activity hours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differ from those of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from 01:00 till 3:00 for the first species versus. 23:00 – 1:00 and 3:00 – 5:00 for the last two, respectively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Two components of the pheromone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Z,Z,Z-3,6,9-nonadecatriene 1 and its monoepoxide Z,Z-(9S,10R)-9,10-epoxy-3,6-nonadecadiene 4a, were identified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study of flight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towards lights, as well as inspection of ships for the presence any stage of the pest was done under the American-Russian Monitoring Project in the South of Primorsky Krai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Yurchenko &amp; Turova, 2002;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attacked by many natural enemies: hymenopteran egg parasitoids, hymenopteran (mainly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spp.) and dipteran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larval parasitoids, dipteran pupal parasitoids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Sarcophagidae</w:t>
      </w:r>
      <w:r>
        <w:rPr>
          <w:rFonts w:ascii="Calibri" w:hAnsi="Calibri" w:eastAsia="Calibri" w:cs="Calibri"/>
          <w:color w:val="000000"/>
          <w:sz w:val="22"/>
          <w:szCs w:val="22"/>
        </w:rPr>
        <w:t xml:space="preserve">). Caterpillars are often infested by nematodes and nuclear polyhedrosis viruses. Natural enemies play a very important role in pest suppression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Chelysheva &amp; Orlov, 1986; Lee &amp; Lee, 1996). An extensive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1953 in India collapsed in 1954 due to a polyhedral virus disease which killed about 99% of larvae and pupae of the pest (Roonwal,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Inspectors should pay attention to egg masses on any products imported from East Asia (Molet, 2012). Defoliation of host trees is usually very spectacular, and the presence of larvae is easily detected (Yurchenko &amp; Turova, 2002). Adults have robust morphological characteristics that distinguish the species from other representatives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roundish, from 0.86 x 0.92 mm (minimum size) to 1.13 x 1.19 mm (maximum size), laid in masses containing more than 400 eggs in 3 or 4 layers (Kuznetsov, 1999; Lee &amp; Lee, 1996). One female may lay 50–1 200 eggs, as observed in India (Roonwal, 1979). The size of the egg-mass varies from to 0.5 x 1 mm to 6 x 15 mm (Roonwal, 1979). The egg-masses are covered by a one-millimetre thick felt-like covering comprising long white silken hairs (Roonwal, 1979), and hairy scales from the end of the female’s abdomen (Kuznetsov, 1999). The morphology of eggs and egg-masses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highly similar to that of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thus, cannot be used for distinguishing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neonate larvae are able to produce silken threads and spread by ballooning on air currents (Zlotina, 1999). The neonate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lighter than those of Asian relative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(0.51 vs. 0.65 mg on average) (Zlotina, 1999). Larvae go through five-six instars (Roonwal, 1979). In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sexual dimorphism becomes noticeable: female larvae are longer 70-85 mm vs. males 60-65 mm. In late instar larvae, head is brown to grey, body is black with many tiny white spots, pro- and mesothorax with a transverse brown streak at the distal edge;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abdominal segment has a pair of conspicuous dorsal white spots; legs and pro legs are reddish brown, the latter with a large black patch externally (Roonwal, 1979). According to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larva is ashy in colour with yellow bands across the thorax, abdomen with rows of papules bearing tufts of long hairs, and the head has two long plumes of hair on either side; male larva reaches 50 mm length, female 90 mm. Overall, larvae are camouflaged, matching the colour of the bark of tree trunks; making them difficult to detect, especially when they do not move (Roonwal, 1979). A detailed description of all larval instars is given in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 is from pale to dark brown, about 20-36 mm long, with pronounced sexual dimorphism. The female pupa is paler, larger and heavier than male pupa: 30-36 mm length, 10-14 mm width and 0.88 g weigh vs. 15-25 mm length, 6-8 mm width and 0.14 g weight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clearly sexually dimorphic. Males: antennae strongly pectinate, yellow-grey with black segments; head and thorax yellow-grey with grey strokes; abdomen yellow with bundles of grey hairs on tergites; ventral side of abdomen and thorax yellow; forewing white with grey transversal stripes and an orbicular round spot (situated next to the reniform spot), yellow veins and yellow-grey fringe; hindwings dull, grey-yellow, with light yellow fringe; upper side yellow, uncoloured, sometimes slightly pinkish (Arimoto &amp; Iwaizumi, 2014). Females: white-pink; hindwings, abdomen, base of antennae, legs and tops of veins on front wings pink; other parts of the body pinkish; forewings pink with white longitudinal strokes along veins and an orbicular oval spot; wing pattern similar to that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head and notum with light strokes (white and grey); valva with three appendixes and acute distal top; 9th segment with subunci. Male wingspan 40–50 mm, female wingspan 70–90 mm (Arimoto &amp; Iwaizumi,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could be discriminated from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by the yellow background colour of the hindwing in males and pink hindwings in females, and male genitalia by the tegumen with lateral process, deeply divided valve with conspicuous dorsal and ventral processes, and ventrally fused valves (Arimoto &amp; Iwaizumi, 2014). A detailed description of male and female morphology can be found in Pogue &amp; Schaefer (2007) and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larvae can be detected by chewing damage on leaves with untouched thicker veins (Roonwal, 1979). Adults (both males and females) are attracted to light; phosphor mercury lamps attract more individuals than high-pressure sodium lamps, with a peak activity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from 01:00 to 03:00 a.m.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Furthermore, to detect the species, traps (milk-carton traps or wing traps) with the synthetic pheromone, or lure can be used in ports of entry and adjacent forest areas (Savotikov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Molet, 2012).</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(i.e. sequencing of the mitochondrial gene COI) allows reliable differentiation between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including the nearest neighbour </w:t>
      </w:r>
      <w:r>
        <w:rPr>
          <w:rFonts w:ascii="Calibri" w:hAnsi="Calibri" w:eastAsia="Calibri" w:cs="Calibri"/>
          <w:i/>
          <w:iCs/>
          <w:color w:val="000000"/>
          <w:sz w:val="22"/>
          <w:szCs w:val="22"/>
        </w:rPr>
        <w:t xml:space="preserve">Lymantria flavida</w:t>
      </w:r>
      <w:r>
        <w:rPr>
          <w:rFonts w:ascii="Calibri" w:hAnsi="Calibri" w:eastAsia="Calibri" w:cs="Calibri"/>
          <w:color w:val="000000"/>
          <w:sz w:val="22"/>
          <w:szCs w:val="22"/>
        </w:rPr>
        <w:t xml:space="preserve"> (4% interspecific divergence) and 13-17% difference with 18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tested, including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(European and Asian forms),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etc.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spread naturally by flight of adult moths. All stages of the life cycle can be transported on plants moving in trade, particularly plants for planting and cut branches. Eggs may be associated with wood with bark of different trees (not only of host species) or in crevices on other articles (vehicles including boats, packaging material, containers, etc.). Egg masses are small and well hidden, which makes them difﬁcult to detect. Neonate larvae can spread by using silken threads and ballooning on air currents (Zlotina, 1999). During outbreaks especially, larvae may be associated with bark or contaminate other commodities. The introduction of the related Asian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to North America is believed to have happened through airborne dispersal of neonates from ships that had been infested in the Far Eastern ports of Russia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were also intercepted on the ships in the same port underlining the risks of long-distance dispersal and accidental international introduction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Asia,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one of the most important defoliators of deciduous trees (especially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Juglans</w:t>
      </w:r>
      <w:r>
        <w:rPr>
          <w:rFonts w:ascii="Calibri" w:hAnsi="Calibri" w:eastAsia="Calibri" w:cs="Calibri"/>
          <w:color w:val="000000"/>
          <w:sz w:val="22"/>
          <w:szCs w:val="22"/>
        </w:rPr>
        <w:t xml:space="preserve">) (Roonwal, 1979; Yurchenko &amp; Turova, 2002; Kuzmin, 2019). Its outbreaks usually occur over large areas and often result in significant defoliation of forests. Pest damage does not usually kill trees but lead to significant loss of vigour (Kurnetsov, 1999; Yurchenko &amp; Turova, 2002). Mass 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known in the Russian Far East since 1881 (Graeser, 1888; cited by Yurchenko &amp; Turova, 2002). In some forest stands, defoliation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reached 90% in 1978 (Chelysheva &amp; Orlov, 1986; cited by Yurchenko &amp; Turova, 2002). In the Republic of Korea, an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chestnut plantations was especially heavy in 1992 (Lee &amp; Lee, 1996). Important damage also occurs in orchards, e.g. of apple, leading to loss of fruit yield. In particularly Japan,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notably defoliates apple orchards (Pogue &amp; Schaefer, 2007). In India, it is a major tree defoliator, with periodic outbreaks resulting in the decline of overall growth and host plants, reduction in yield or total crop loss in fruit crops, or even tree death (Roonwal, 1979). In the Sal-forest of Jharkhand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heavily damages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an ecologically and economically important tree, commonly used for timber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often been reported at the same time as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increasing the impact of the latter. Most authors believe, nevertheless,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not as important as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(which is present in Europe) (Maslov, 1988; Gninenko &amp; Gninenko, 2002). Indeed, in the Russian Far East, the areas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outbreaks are not as large as those known for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nevertheless, its impact on broadleaf forests in Primorsky Krai in notable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Signiﬁcant control efforts (mainly treatments with chemical, bacterial and viral preparations) against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undertaken during years of outbreaks in Russia. Usually, these measures are similar to those used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Forecasting of population development is possible by trapping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adults in light traps and analysing weather conditions. Pheromones have been developed for monitoring and control purposes. The concentration of epoxy compounds, i.e. (c)-mathuralure and (–)-mathuralure] at a 1 : 4 ratio showed to be the best to attract males to pheromone traps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is important to note that field experiments in Japan have shown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was not trapped by disparlure designed for the related species </w:t>
      </w:r>
      <w:r>
        <w:rPr>
          <w:rFonts w:ascii="Calibri" w:hAnsi="Calibri" w:eastAsia="Calibri" w:cs="Calibri"/>
          <w:i/>
          <w:iCs/>
          <w:color w:val="000000"/>
          <w:sz w:val="22"/>
          <w:szCs w:val="22"/>
        </w:rPr>
        <w:t xml:space="preserve">L. dispar, L. monacha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in field experiments conducted in China, pheromone traps containing ( + )-disparlure attracted males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even in low density population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control, it is recommended to use pheromone traps at the beginning of the flight period, i.e. before the end of July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heavily parasitised by Hymenoptera (undetermined chalcids and a braconid,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and Diptera (undetermined tachinids) but pupae are less parasitised (tachinids) (Roonwal, 1979). In India, polyhedral virus disease (Baculoviruses) rapidly spreads in outbreaking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populations and causes significant mortality of larvae (Roonwal, 1979). In the Russian Far East (Primorsky Krai), 28 species of tachinid parasitoids from three subfamilies (Exoristinae, Tachininae, Dexiinae) were detected on the representatives of Lymantriidae, including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(Markova &amp; Manchela, 2013). Parasitoids play a significant role in suppressing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populations (Markova &amp; Manchela, 2013). In the Republic of Korea, a total of nine parasitoid species and two pathogens attacking larvae and pupae were documented, with </w:t>
      </w:r>
      <w:r>
        <w:rPr>
          <w:rFonts w:ascii="Calibri" w:hAnsi="Calibri" w:eastAsia="Calibri" w:cs="Calibri"/>
          <w:i/>
          <w:iCs/>
          <w:color w:val="000000"/>
          <w:sz w:val="22"/>
          <w:szCs w:val="22"/>
        </w:rPr>
        <w:t xml:space="preserve">Cotesia melanoscela</w:t>
      </w:r>
      <w:r>
        <w:rPr>
          <w:rFonts w:ascii="Calibri" w:hAnsi="Calibri" w:eastAsia="Calibri" w:cs="Calibri"/>
          <w:color w:val="000000"/>
          <w:sz w:val="22"/>
          <w:szCs w:val="22"/>
        </w:rPr>
        <w:t xml:space="preserve"> (Ratzeburg) (Hymenoptera: Braconidae) the dominant larval parasitoid and </w:t>
      </w:r>
      <w:r>
        <w:rPr>
          <w:rFonts w:ascii="Calibri" w:hAnsi="Calibri" w:eastAsia="Calibri" w:cs="Calibri"/>
          <w:i/>
          <w:iCs/>
          <w:color w:val="000000"/>
          <w:sz w:val="22"/>
          <w:szCs w:val="22"/>
        </w:rPr>
        <w:t xml:space="preserve">Brachymeria lasus</w:t>
      </w:r>
      <w:r>
        <w:rPr>
          <w:rFonts w:ascii="Calibri" w:hAnsi="Calibri" w:eastAsia="Calibri" w:cs="Calibri"/>
          <w:color w:val="000000"/>
          <w:sz w:val="22"/>
          <w:szCs w:val="22"/>
        </w:rPr>
        <w:t xml:space="preserve"> (Hymenoptera: Chalcididae) the dominant pupal parasitoid which caused about 28.6% mortality in 1992 (Lee &amp; Lee, 1996). Overall, combined mortality caused by nuclear polyhedrosis virus (NPV) and a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sp.) resulted in the death of more than 60%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in the Republic of Korea (Lee &amp; Lee, 1996). Simultaneously, the parasitoids, the virus and the fungus have shown high efficiency to control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Republic of Korea, in 1993 altogether they caused 99.9% mortality, which led to the collapse of the host population the following year (Lee &amp; Lee, 1996). At least in the Republic of Korea and the Russian Far East,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share the parasitoids and NPV with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(Lee &amp; Lee, 1996;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Markova &amp; Manchela, 2013). NPV extracted from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collected in China showed similar activity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as the virus extracted from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Biocontrol options also include spraying a water solution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1%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be an important defoliator of deciduous forests and orchards in countries where it occurs (Roonwal, 1979;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Lee &amp; Lee, 1996; Yurchenko&amp; Turova, 2002). It is very likely to be able to establish in many EPPO countries, particularly in those that are in the centre of the region. Its major host species (</w:t>
      </w:r>
      <w:r>
        <w:rPr>
          <w:rFonts w:ascii="Calibri" w:hAnsi="Calibri" w:eastAsia="Calibri" w:cs="Calibri"/>
          <w:i/>
          <w:iCs/>
          <w:color w:val="000000"/>
          <w:sz w:val="22"/>
          <w:szCs w:val="22"/>
        </w:rPr>
        <w:t xml:space="preserve">Fagaceae</w:t>
      </w:r>
      <w:r>
        <w:rPr>
          <w:rFonts w:ascii="Calibri" w:hAnsi="Calibri" w:eastAsia="Calibri" w:cs="Calibri"/>
          <w:color w:val="000000"/>
          <w:sz w:val="22"/>
          <w:szCs w:val="22"/>
        </w:rPr>
        <w:t xml:space="preserve">) include several key oaks species in Europe, for instance, </w:t>
      </w:r>
      <w:r>
        <w:rPr>
          <w:rFonts w:ascii="Calibri" w:hAnsi="Calibri" w:eastAsia="Calibri" w:cs="Calibri"/>
          <w:i/>
          <w:iCs/>
          <w:color w:val="000000"/>
          <w:sz w:val="22"/>
          <w:szCs w:val="22"/>
        </w:rPr>
        <w:t xml:space="preserve">Q. robur,Q. petraea</w:t>
      </w:r>
      <w:r>
        <w:rPr>
          <w:rFonts w:ascii="Calibri" w:hAnsi="Calibri" w:eastAsia="Calibri" w:cs="Calibri"/>
          <w:color w:val="000000"/>
          <w:sz w:val="22"/>
          <w:szCs w:val="22"/>
        </w:rPr>
        <w:t xml:space="preserve">. The related species,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is present in Europe and also causes damaging outbreaks. The evidence from the Far East suggests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which is expanding its range in Amur Oblast, is competing and displacing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 the region (Kuzmin, 2019). Because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most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spp. are regarded as potentially dangerous pests in continents where they do not occur, and their presence in Europe could cause additional problems with export trade. Overall, human-mediated long-distance spread from East Asia (i.e. with transport and commodities), attractiveness to light, wind dispersal of young larvae, relatively long survival of neonate larvae without food after emergence, wide polyphagy suggest that the phytosanitary risk is relatively high (Gninenko Yu &amp; Gninenko M, 2002).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pose a high risk to North American forests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1999; Zlotina,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potential for natural spread, phytosanitary measures may have little effect in countries bordering the present range. Surveys may be conducted in the border areas, using light traps and pheromone traps to detect entry of the pest which would be followed by eradication campaigns. Control measures, which are similar to those used for the related lymantiids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can also be applied in adjoining infested areas, especially during outbreaks, to limit spread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 prevent introduction, plants for planting and cut branches of host plants from the infested areas should be free from soil, according to EPPO (1994). Alternatively, such commodities should originate in a pest-free area, or be produced in protected houses, or fumigated or imported during winter. Wood should be debarked or heat-treated or originate in a pest-free area, or be imported during winter, and isolated bark should be treated against contaminating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Alekseenko AYu, Brusova EV, Vyvodtsev NV, Gromyko SA, Gukov GV, Gul LP, Efremov DF, Zamaleev VK, Kovalev AP, Kovalev SA, Kolesnikova RD, Koryakin VN, Malokvasova TS, Manko YuI, Morin VA, Nechaev AA, Nikitenko EA, Perevertailo II, Pankratova NN, Pozdnyakova VV, Ryabukhin PB, Sapozhnikov AP, Timchenko VA, Chelyshev VA, Tagiltsev YuG, Turova GI, Shmelev GS, Sheshukov MA &amp; Yurchenko GI (2009) [The current state of the forests of the Russian Far East and prospects for their use] (ed. Kovaleva AP. Far Eastern SRIF,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Arimoto M &amp; Iwaizumi R (2014) Identification of Japanese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(Lepidoptera: Lymantriidae) based on morphological characteristics of adults.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50, 89-110.</w:t>
      </w:r>
    </w:p>
    <w:p>
      <w:pPr>
        <w:widowControl w:val="on"/>
        <w:pBdr/>
        <w:spacing w:before="220" w:after="220" w:line="240" w:lineRule="auto"/>
        <w:ind w:left="0" w:right="0"/>
        <w:jc w:val="left"/>
      </w:pPr>
      <w:r>
        <w:rPr>
          <w:rFonts w:ascii="Calibri" w:hAnsi="Calibri" w:eastAsia="Calibri" w:cs="Calibri"/>
          <w:color w:val="000000"/>
          <w:sz w:val="22"/>
          <w:szCs w:val="22"/>
        </w:rPr>
        <w:t xml:space="preserve">Barbarich AA &amp; Dubatolov VV (2012) [Family Noctuidae - Owlet moths]. In Fauna of Bastak Nature Reserve. BSPU Press, Blagoveshchensk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Chelysheva LP &amp; Orlov YuM (1986) [On outbreaks of pink gypsy moth and gypsy moth in Primor’e.] </w:t>
      </w:r>
      <w:r>
        <w:rPr>
          <w:rFonts w:ascii="Calibri" w:hAnsi="Calibri" w:eastAsia="Calibri" w:cs="Calibri"/>
          <w:i/>
          <w:iCs/>
          <w:color w:val="000000"/>
          <w:sz w:val="22"/>
          <w:szCs w:val="22"/>
        </w:rPr>
        <w:t xml:space="preserve">Problemy Ratsional’nogo Lesopol’zovaniya na Dal’nem Vostoke, Trudy Dal’nevostochnogo Nauchno-Issledovatel’skogo Instituta Lesnogo Khozyaistva</w:t>
      </w:r>
      <w:r>
        <w:rPr>
          <w:rFonts w:ascii="Calibri" w:hAnsi="Calibri" w:eastAsia="Calibri" w:cs="Calibri"/>
          <w:color w:val="000000"/>
          <w:sz w:val="22"/>
          <w:szCs w:val="22"/>
        </w:rPr>
        <w:t xml:space="preserve"> no. 28, 125–129. Izdatel’stvo Gosudarstvennogo Komiteta SSSR po Lesnomu Khozyaistvu,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Dubatolov VV &amp; Belyaev EA (2016) [Subfamily Lymantriinae].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Annotated catalogue of the insects of Russian Far East.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Dubatolov VV &amp; Dolgikh AM (2009) [New records of moths (Insecta, Lepidoptera, Macroheterocera) from the Bolshekhekhtsyrskii Nature Reserve (Khabarovsk suburbs) in 2008 and spring 2009].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I</w:t>
      </w:r>
      <w:r>
        <w:rPr>
          <w:rFonts w:ascii="Calibri" w:hAnsi="Calibri" w:eastAsia="Calibri" w:cs="Calibri"/>
          <w:color w:val="000000"/>
          <w:sz w:val="22"/>
          <w:szCs w:val="22"/>
        </w:rPr>
        <w:t xml:space="preserve">(2), 135-139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&amp; Pleshanov AS (1995) [</w:t>
      </w:r>
      <w:r>
        <w:rPr>
          <w:rFonts w:ascii="Calibri" w:hAnsi="Calibri" w:eastAsia="Calibri" w:cs="Calibri"/>
          <w:i/>
          <w:iCs/>
          <w:color w:val="000000"/>
          <w:sz w:val="22"/>
          <w:szCs w:val="22"/>
        </w:rPr>
        <w:t xml:space="preserve">The Forest Regions Injured by Phyllophagous Insects in the Asian Russia</w:t>
      </w:r>
      <w:r>
        <w:rPr>
          <w:rFonts w:ascii="Calibri" w:hAnsi="Calibri" w:eastAsia="Calibri" w:cs="Calibri"/>
          <w:color w:val="000000"/>
          <w:sz w:val="22"/>
          <w:szCs w:val="22"/>
        </w:rPr>
        <w:t xml:space="preserve">].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Graeser L (1888) Beitrage zur Kenntnis Lepidopteren. Fauna des Amurlanders. 1Theil. </w:t>
      </w:r>
      <w:r>
        <w:rPr>
          <w:rFonts w:ascii="Calibri" w:hAnsi="Calibri" w:eastAsia="Calibri" w:cs="Calibri"/>
          <w:i/>
          <w:iCs/>
          <w:color w:val="000000"/>
          <w:sz w:val="22"/>
          <w:szCs w:val="22"/>
        </w:rPr>
        <w:t xml:space="preserve">Berliner Entomologische Zeitschrift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125.</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&amp; Gninenko MYu (2002) Little known lymantriids of the Russian Far East – potential for movement to other countries of the Paciﬁc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Gries G, Gries R, Schaefer PW, Gotoh T &amp; Higashiura Y (1999) Sex pheromone components of pink gypsy moth,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Inoue H (1957) A revision of the Japanese Lymantriidae (II) </w:t>
      </w:r>
      <w:r>
        <w:rPr>
          <w:rFonts w:ascii="Calibri" w:hAnsi="Calibri" w:eastAsia="Calibri" w:cs="Calibri"/>
          <w:i/>
          <w:iCs/>
          <w:color w:val="000000"/>
          <w:sz w:val="22"/>
          <w:szCs w:val="22"/>
        </w:rPr>
        <w:t xml:space="preserve">Japanese Journal of Medical Sciences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Ji W, Dou F, Zhang C, Xiao Y, Yin W, Yu J, Kurenshchikov DK, Zhu X &amp; Shi J (2023) Improvement in the identification technology for Asian spongy moth,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Linnaeus, 1758 (Lepidoptera: Erebidae) based on SS-COI.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94. </w:t>
      </w:r>
      <w:hyperlink r:id="rId4526693ed7badc103" w:history="1">
        <w:r>
          <w:rPr>
            <w:rFonts w:ascii="Calibri" w:hAnsi="Calibri" w:eastAsia="Calibri" w:cs="Calibri"/>
            <w:color w:val="0000CC"/>
            <w:sz w:val="22"/>
            <w:szCs w:val="22"/>
            <w:u w:val="single"/>
          </w:rPr>
          <w:t xml:space="preserve">https://doi.org/10.3390/insects14010094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Kaustubh K, Joshi R, Hassan SMM (2022) Report of occurrence of</w:t>
      </w:r>
      <w:r>
        <w:rPr>
          <w:rFonts w:ascii="Calibri" w:hAnsi="Calibri" w:eastAsia="Calibri" w:cs="Calibri"/>
          <w:i/>
          <w:iCs/>
          <w:color w:val="000000"/>
          <w:sz w:val="22"/>
          <w:szCs w:val="22"/>
        </w:rPr>
        <w:t xml:space="preserve"> Lymantria mathura</w:t>
      </w:r>
      <w:r>
        <w:rPr>
          <w:rFonts w:ascii="Calibri" w:hAnsi="Calibri" w:eastAsia="Calibri" w:cs="Calibri"/>
          <w:color w:val="000000"/>
          <w:sz w:val="22"/>
          <w:szCs w:val="22"/>
        </w:rPr>
        <w:t xml:space="preserve"> (Lepidoptera: Erebidae) from Saranda Forest Division, Jharkhand, India.</w:t>
      </w:r>
      <w:r>
        <w:rPr>
          <w:rFonts w:ascii="Calibri" w:hAnsi="Calibri" w:eastAsia="Calibri" w:cs="Calibri"/>
          <w:i/>
          <w:iCs/>
          <w:color w:val="000000"/>
          <w:sz w:val="22"/>
          <w:szCs w:val="22"/>
        </w:rPr>
        <w:t xml:space="preserve"> Acta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30-33. </w:t>
      </w:r>
      <w:hyperlink r:id="rId3757693ed7badc1cc" w:history="1">
        <w:r>
          <w:rPr>
            <w:rFonts w:ascii="Calibri" w:hAnsi="Calibri" w:eastAsia="Calibri" w:cs="Calibri"/>
            <w:color w:val="0000CC"/>
            <w:sz w:val="22"/>
            <w:szCs w:val="22"/>
            <w:u w:val="single"/>
          </w:rPr>
          <w:t xml:space="preserve">https://doi.org/10.33545/27080013.2022.v3.i1a.61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Kuzmin AA (2019) [Long-term dynamics of the species of the genus</w:t>
      </w:r>
      <w:r>
        <w:rPr>
          <w:rFonts w:ascii="Calibri" w:hAnsi="Calibri" w:eastAsia="Calibri" w:cs="Calibri"/>
          <w:i/>
          <w:iCs/>
          <w:color w:val="000000"/>
          <w:sz w:val="22"/>
          <w:szCs w:val="22"/>
        </w:rPr>
        <w:t xml:space="preserve"> Lymantria</w:t>
      </w:r>
      <w:r>
        <w:rPr>
          <w:rFonts w:ascii="Calibri" w:hAnsi="Calibri" w:eastAsia="Calibri" w:cs="Calibri"/>
          <w:color w:val="000000"/>
          <w:sz w:val="22"/>
          <w:szCs w:val="22"/>
        </w:rPr>
        <w:t xml:space="preserve"> Hübner, [1819] 1816 (Lepidoptera, Erebidae) in the Amur Region]. </w:t>
      </w:r>
      <w:r>
        <w:rPr>
          <w:rFonts w:ascii="Calibri" w:hAnsi="Calibri" w:eastAsia="Calibri" w:cs="Calibri"/>
          <w:i/>
          <w:iCs/>
          <w:color w:val="000000"/>
          <w:sz w:val="22"/>
          <w:szCs w:val="22"/>
        </w:rPr>
        <w:t xml:space="preserve">Agroforum</w:t>
      </w:r>
      <w:r>
        <w:rPr>
          <w:rFonts w:ascii="Calibri" w:hAnsi="Calibri" w:eastAsia="Calibri" w:cs="Calibri"/>
          <w:color w:val="000000"/>
          <w:sz w:val="22"/>
          <w:szCs w:val="22"/>
        </w:rPr>
        <w:t xml:space="preserve"> no. 7, 56-57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Kuznetzov VI (1999) [The family Lymantriidae (Liparidae, Orgidae)]. In Insects and mites—pests of agricultural plants (ed. Kuznetsov VI), pp. 279–320. Vol. III (2). Lepidoptera. Nauka, St. Petersburg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JH &amp; Lee HP (1996) [Parasites and phenology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in Kyonggi Province, Korea.] </w:t>
      </w:r>
      <w:r>
        <w:rPr>
          <w:rFonts w:ascii="Calibri" w:hAnsi="Calibri" w:eastAsia="Calibri" w:cs="Calibri"/>
          <w:i/>
          <w:iCs/>
          <w:color w:val="000000"/>
          <w:sz w:val="22"/>
          <w:szCs w:val="22"/>
        </w:rPr>
        <w:t xml:space="preserve">Korean Journal of Entomology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393–401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Lewis FB, Wallner WE &amp; Rollinson WD (1984) Activity of lymantriid NPVs from the People’s Republic of China against North American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299–302.</w:t>
      </w:r>
    </w:p>
    <w:p>
      <w:pPr>
        <w:widowControl w:val="on"/>
        <w:pBdr/>
        <w:spacing w:before="220" w:after="220" w:line="240" w:lineRule="auto"/>
        <w:ind w:left="0" w:right="0"/>
        <w:jc w:val="left"/>
      </w:pPr>
      <w:r>
        <w:rPr>
          <w:rFonts w:ascii="Calibri" w:hAnsi="Calibri" w:eastAsia="Calibri" w:cs="Calibri"/>
          <w:color w:val="000000"/>
          <w:sz w:val="22"/>
          <w:szCs w:val="22"/>
        </w:rPr>
        <w:t xml:space="preserve">Markova TO &amp; Manchela KA (2013) [Tachinidae (Diptera) – parasites of Lymantriidae (Lepidoptera) of Primorye Territory]. </w:t>
      </w:r>
      <w:r>
        <w:rPr>
          <w:rFonts w:ascii="Calibri" w:hAnsi="Calibri" w:eastAsia="Calibri" w:cs="Calibri"/>
          <w:i/>
          <w:iCs/>
          <w:color w:val="000000"/>
          <w:sz w:val="22"/>
          <w:szCs w:val="22"/>
        </w:rPr>
        <w:t xml:space="preserve">Bulletin of the Orenburg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155–158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Lyashenko LI &amp; Pavlinov NP (1988) [Guide to Forest Protection Against Pests and Diseases], 2nd edn.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Mastro VC, Munson AS, Wang B, Freyman T, Humble LM (2021) History of the Asian </w:t>
      </w:r>
      <w:r>
        <w:rPr>
          <w:rFonts w:ascii="Calibri" w:hAnsi="Calibri" w:eastAsia="Calibri" w:cs="Calibri"/>
          <w:i/>
          <w:iCs/>
          <w:color w:val="000000"/>
          <w:sz w:val="22"/>
          <w:szCs w:val="22"/>
        </w:rPr>
        <w:t xml:space="preserve">Lymantria </w:t>
      </w:r>
      <w:r>
        <w:rPr>
          <w:rFonts w:ascii="Calibri" w:hAnsi="Calibri" w:eastAsia="Calibri" w:cs="Calibri"/>
          <w:color w:val="000000"/>
          <w:sz w:val="22"/>
          <w:szCs w:val="22"/>
        </w:rPr>
        <w:t xml:space="preserve">species Program: A Unique Pathway Risk Mitigation Strategy.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1–10. </w:t>
      </w:r>
      <w:hyperlink r:id="rId5000693ed7badc771" w:history="1">
        <w:r>
          <w:rPr>
            <w:rFonts w:ascii="Calibri" w:hAnsi="Calibri" w:eastAsia="Calibri" w:cs="Calibri"/>
            <w:color w:val="0000CC"/>
            <w:sz w:val="22"/>
            <w:szCs w:val="22"/>
            <w:u w:val="single"/>
          </w:rPr>
          <w:t xml:space="preserve">https://doi.org/10.1093/jipm/pmab023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Molet T (2012) CPHST Pest Datasheet for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USDA-APHIS-PPQ-CPHST.</w:t>
      </w:r>
    </w:p>
    <w:p>
      <w:pPr>
        <w:widowControl w:val="on"/>
        <w:pBdr/>
        <w:spacing w:before="220" w:after="220" w:line="240" w:lineRule="auto"/>
        <w:ind w:left="0" w:right="0"/>
        <w:jc w:val="left"/>
      </w:pPr>
      <w:r>
        <w:rPr>
          <w:rFonts w:ascii="Calibri" w:hAnsi="Calibri" w:eastAsia="Calibri" w:cs="Calibri"/>
          <w:color w:val="000000"/>
          <w:sz w:val="22"/>
          <w:szCs w:val="22"/>
        </w:rPr>
        <w:t xml:space="preserve">Odell TM, Xu CH, Schaefer PW, Leonhardt BA, Yao DF, Wu XD (1992) Capture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(L.) males in traps baited with disparlure enantiomers and olefin precursor in the People's Republic of China.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2153–2159.</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Dickens JC, Zlotina M, Mastro VC &amp; Yurchenko GI (1999) Sex attractant of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für Naturforschung. Section C</w:t>
      </w:r>
      <w:r>
        <w:rPr>
          <w:rFonts w:ascii="Calibri" w:hAnsi="Calibri" w:eastAsia="Calibri" w:cs="Calibri"/>
          <w:i/>
          <w:iCs/>
          <w:color w:val="000000"/>
          <w:sz w:val="22"/>
          <w:szCs w:val="22"/>
        </w:rPr>
        <w:t xml:space="preserve">, Biosciences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&amp; Schaefer PW (2007) A review of selected species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Hübner (1819) (Lepidoptera: Noctuidae: Lymantriinae) from subtropical and temperate regions of Asia, including the descriptions of three new species, some potentially invasive to North America. Forest Health Technology Enterprise Team (US),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Roonwal ML (1979) Field-ecological studies on mass eruption, seasonal life-history, nocturnal feeding and activity rhythm, and protective behavior and coloration in the sal defoliator,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(Lepidoptera: Lymantriidae), in sub-Himalayan forests.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209-236.</w:t>
      </w:r>
    </w:p>
    <w:p>
      <w:pPr>
        <w:widowControl w:val="on"/>
        <w:pBdr/>
        <w:spacing w:before="220" w:after="220" w:line="240" w:lineRule="auto"/>
        <w:ind w:left="0" w:right="0"/>
        <w:jc w:val="left"/>
      </w:pPr>
      <w:r>
        <w:rPr>
          <w:rFonts w:ascii="Calibri" w:hAnsi="Calibri" w:eastAsia="Calibri" w:cs="Calibri"/>
          <w:color w:val="000000"/>
          <w:sz w:val="22"/>
          <w:szCs w:val="22"/>
        </w:rPr>
        <w:t xml:space="preserve">Roychoudhury N, Singh RB &amp; Mishra RK (2020) Occurrence of</w:t>
      </w:r>
      <w:r>
        <w:rPr>
          <w:rFonts w:ascii="Calibri" w:hAnsi="Calibri" w:eastAsia="Calibri" w:cs="Calibri"/>
          <w:i/>
          <w:iCs/>
          <w:color w:val="000000"/>
          <w:sz w:val="22"/>
          <w:szCs w:val="22"/>
        </w:rPr>
        <w:t xml:space="preserve"> Lymantria mathura </w:t>
      </w:r>
      <w:r>
        <w:rPr>
          <w:rFonts w:ascii="Calibri" w:hAnsi="Calibri" w:eastAsia="Calibri" w:cs="Calibri"/>
          <w:color w:val="000000"/>
          <w:sz w:val="22"/>
          <w:szCs w:val="22"/>
        </w:rPr>
        <w:t xml:space="preserve">in sal forests of Odisha. </w:t>
      </w:r>
      <w:r>
        <w:rPr>
          <w:rFonts w:ascii="Calibri" w:hAnsi="Calibri" w:eastAsia="Calibri" w:cs="Calibri"/>
          <w:i/>
          <w:iCs/>
          <w:color w:val="000000"/>
          <w:sz w:val="22"/>
          <w:szCs w:val="22"/>
        </w:rPr>
        <w:t xml:space="preserve">Van Sangyan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(10), 27-31.</w:t>
      </w:r>
    </w:p>
    <w:p>
      <w:pPr>
        <w:widowControl w:val="on"/>
        <w:pBdr/>
        <w:spacing w:before="220" w:after="220" w:line="240" w:lineRule="auto"/>
        <w:ind w:left="0" w:right="0"/>
        <w:jc w:val="left"/>
      </w:pPr>
      <w:r>
        <w:rPr>
          <w:rFonts w:ascii="Calibri" w:hAnsi="Calibri" w:eastAsia="Calibri" w:cs="Calibri"/>
          <w:color w:val="000000"/>
          <w:sz w:val="22"/>
          <w:szCs w:val="22"/>
        </w:rPr>
        <w:t xml:space="preserve">Savotikov YF, Smetnik AI &amp; Orlinskii AD (1995) Situation of the Asian form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in Russia and in the world.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617–622.</w:t>
      </w:r>
    </w:p>
    <w:p>
      <w:pPr>
        <w:widowControl w:val="on"/>
        <w:pBdr/>
        <w:spacing w:before="220" w:after="220" w:line="240" w:lineRule="auto"/>
        <w:ind w:left="0" w:right="0"/>
        <w:jc w:val="left"/>
      </w:pPr>
      <w:r>
        <w:rPr>
          <w:rFonts w:ascii="Calibri" w:hAnsi="Calibri" w:eastAsia="Calibri" w:cs="Calibri"/>
          <w:color w:val="000000"/>
          <w:sz w:val="22"/>
          <w:szCs w:val="22"/>
        </w:rPr>
        <w:t xml:space="preserve">Taiwan Insects. </w:t>
      </w:r>
      <w:r>
        <w:rPr>
          <w:rFonts w:ascii="Calibri" w:hAnsi="Calibri" w:eastAsia="Calibri" w:cs="Calibri"/>
          <w:i/>
          <w:iCs/>
          <w:color w:val="000000"/>
          <w:sz w:val="22"/>
          <w:szCs w:val="22"/>
        </w:rPr>
        <w:t xml:space="preserve">Lymantria mathura subpallida</w:t>
      </w:r>
      <w:r>
        <w:rPr>
          <w:rFonts w:ascii="Calibri" w:hAnsi="Calibri" w:eastAsia="Calibri" w:cs="Calibri"/>
          <w:color w:val="000000"/>
          <w:sz w:val="22"/>
          <w:szCs w:val="22"/>
        </w:rPr>
        <w:t xml:space="preserve"> Okano,1959. Accessed 22 June 2023 from: </w:t>
      </w:r>
      <w:hyperlink r:id="rId2880693ed7badcbe3" w:history="1">
        <w:r>
          <w:rPr>
            <w:rFonts w:ascii="Calibri" w:hAnsi="Calibri" w:eastAsia="Calibri" w:cs="Calibri"/>
            <w:color w:val="0000CC"/>
            <w:sz w:val="22"/>
            <w:szCs w:val="22"/>
            <w:u w:val="single"/>
          </w:rPr>
          <w:t xml:space="preserve">http://gaga.biodiv.tw/new23/9408/079.htm</w:t>
        </w:r>
      </w:hyperlink>
      <w:r>
        <w:rPr>
          <w:rFonts w:ascii="Calibri" w:hAnsi="Calibri" w:eastAsia="Calibri" w:cs="Calibri"/>
          <w:color w:val="000000"/>
          <w:sz w:val="22"/>
          <w:szCs w:val="22"/>
        </w:rPr>
        <w:t xml:space="preserve">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Humble LM, Levin RE, Baranchikov YN &amp; Card RT (1995) Response of adult lymantriid moths to illumination devices in the Russian Far East.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(2),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[Features of biology, behavior and population dynamics of the rosy gypsy moth unpaired silkworm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in the Russian Far East]. In Readings in memory of A.I. Kurentsov, pp.84-95.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(1999) Biology and behavior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(Lepidoptera: Lymantriidae). Doctoral Dissertations 1896 - February 2014. 5673. Accessed 9 June 2023 from: </w:t>
      </w:r>
      <w:hyperlink r:id="rId2799693ed7badcd40" w:history="1">
        <w:r>
          <w:rPr>
            <w:rFonts w:ascii="Calibri" w:hAnsi="Calibri" w:eastAsia="Calibri" w:cs="Calibri"/>
            <w:color w:val="0000CC"/>
            <w:sz w:val="22"/>
            <w:szCs w:val="22"/>
            <w:u w:val="single"/>
          </w:rPr>
          <w:t xml:space="preserve">https://scholarworks.umass.edu/dissertations_1/5673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Elkinton JS &amp; Leonard DE (1999) Dispersal tendencies of neonate larvae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and the Asian form of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(Lepidoptera: Lymantriidae).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Leonard DE &amp; Elkinton JS (1998) Survival and development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on North American, Asian, and European tree species.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1162–1166.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Dr Natalia Kirichenko (Sukachev Institute of Forest, the Siberian Branch of the Russian Academy of Sciences, Federal Research Center ‘Krasnoyarsk Science Center SB RAS’ and Siberian Federal University,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EPPO datasheets on pests recommended for regulation. Available online. </w:t>
      </w:r>
      <w:hyperlink r:id="rId6818693ed7badcf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464–467. </w:t>
      </w:r>
      <w:hyperlink r:id="rId3821693ed7badd0c0" w:history="1">
        <w:r>
          <w:rPr>
            <w:rFonts w:ascii="Calibri" w:hAnsi="Calibri" w:eastAsia="Calibri" w:cs="Calibri"/>
            <w:color w:val="0000CC"/>
            <w:sz w:val="22"/>
            <w:szCs w:val="22"/>
            <w:u w:val="single"/>
          </w:rPr>
          <w:t xml:space="preserve">https://doi.org/10.1111/j.1365-2338.2005.00875.x</w:t>
        </w:r>
      </w:hyperlink>
    </w:p>
    <w:p>
      <w:r>
        <w:drawing>
          <wp:inline distT="0" distB="0" distL="0" distR="0">
            <wp:extent cx="1800000" cy="604800"/>
            <wp:docPr id="27150028" name="name8068693ed7badd13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03693ed7badd13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633973">
    <w:multiLevelType w:val="hybridMultilevel"/>
    <w:lvl w:ilvl="0" w:tplc="85910129">
      <w:start w:val="1"/>
      <w:numFmt w:val="decimal"/>
      <w:lvlText w:val="%1."/>
      <w:lvlJc w:val="left"/>
      <w:pPr>
        <w:ind w:left="720" w:hanging="360"/>
      </w:pPr>
    </w:lvl>
    <w:lvl w:ilvl="1" w:tplc="85910129" w:tentative="1">
      <w:start w:val="1"/>
      <w:numFmt w:val="lowerLetter"/>
      <w:lvlText w:val="%2."/>
      <w:lvlJc w:val="left"/>
      <w:pPr>
        <w:ind w:left="1440" w:hanging="360"/>
      </w:pPr>
    </w:lvl>
    <w:lvl w:ilvl="2" w:tplc="85910129" w:tentative="1">
      <w:start w:val="1"/>
      <w:numFmt w:val="lowerRoman"/>
      <w:lvlText w:val="%3."/>
      <w:lvlJc w:val="right"/>
      <w:pPr>
        <w:ind w:left="2160" w:hanging="180"/>
      </w:pPr>
    </w:lvl>
    <w:lvl w:ilvl="3" w:tplc="85910129" w:tentative="1">
      <w:start w:val="1"/>
      <w:numFmt w:val="decimal"/>
      <w:lvlText w:val="%4."/>
      <w:lvlJc w:val="left"/>
      <w:pPr>
        <w:ind w:left="2880" w:hanging="360"/>
      </w:pPr>
    </w:lvl>
    <w:lvl w:ilvl="4" w:tplc="85910129" w:tentative="1">
      <w:start w:val="1"/>
      <w:numFmt w:val="lowerLetter"/>
      <w:lvlText w:val="%5."/>
      <w:lvlJc w:val="left"/>
      <w:pPr>
        <w:ind w:left="3600" w:hanging="360"/>
      </w:pPr>
    </w:lvl>
    <w:lvl w:ilvl="5" w:tplc="85910129" w:tentative="1">
      <w:start w:val="1"/>
      <w:numFmt w:val="lowerRoman"/>
      <w:lvlText w:val="%6."/>
      <w:lvlJc w:val="right"/>
      <w:pPr>
        <w:ind w:left="4320" w:hanging="180"/>
      </w:pPr>
    </w:lvl>
    <w:lvl w:ilvl="6" w:tplc="85910129" w:tentative="1">
      <w:start w:val="1"/>
      <w:numFmt w:val="decimal"/>
      <w:lvlText w:val="%7."/>
      <w:lvlJc w:val="left"/>
      <w:pPr>
        <w:ind w:left="5040" w:hanging="360"/>
      </w:pPr>
    </w:lvl>
    <w:lvl w:ilvl="7" w:tplc="85910129" w:tentative="1">
      <w:start w:val="1"/>
      <w:numFmt w:val="lowerLetter"/>
      <w:lvlText w:val="%8."/>
      <w:lvlJc w:val="left"/>
      <w:pPr>
        <w:ind w:left="5760" w:hanging="360"/>
      </w:pPr>
    </w:lvl>
    <w:lvl w:ilvl="8" w:tplc="85910129" w:tentative="1">
      <w:start w:val="1"/>
      <w:numFmt w:val="lowerRoman"/>
      <w:lvlText w:val="%9."/>
      <w:lvlJc w:val="right"/>
      <w:pPr>
        <w:ind w:left="6480" w:hanging="180"/>
      </w:pPr>
    </w:lvl>
  </w:abstractNum>
  <w:abstractNum w:abstractNumId="85633972">
    <w:multiLevelType w:val="hybridMultilevel"/>
    <w:lvl w:ilvl="0" w:tplc="674160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633972">
    <w:abstractNumId w:val="85633972"/>
  </w:num>
  <w:num w:numId="85633973">
    <w:abstractNumId w:val="856339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8158737" Type="http://schemas.microsoft.com/office/2011/relationships/commentsExtended" Target="commentsExtended.xml"/><Relationship Id="rId338352037" Type="http://schemas.microsoft.com/office/2011/relationships/people" Target="people.xml"/><Relationship Id="rId7485693ed7bad7161" Type="http://schemas.openxmlformats.org/officeDocument/2006/relationships/hyperlink" Target="https://gd.eppo.int/taxon/LYMAMA/" TargetMode="External"/><Relationship Id="rId3363693ed7bad7207" Type="http://schemas.openxmlformats.org/officeDocument/2006/relationships/hyperlink" Target="https://gd.eppo.int/taxon/LYMAMA/categorization" TargetMode="External"/><Relationship Id="rId4559693ed7bad78b5" Type="http://schemas.openxmlformats.org/officeDocument/2006/relationships/hyperlink" Target="https://gd.eppo.int/taxon/LYMAMA/photos" TargetMode="External"/><Relationship Id="rId4526693ed7badc103" Type="http://schemas.openxmlformats.org/officeDocument/2006/relationships/hyperlink" Target="https://doi.org/10.3390/insects14010094" TargetMode="External"/><Relationship Id="rId3757693ed7badc1cc" Type="http://schemas.openxmlformats.org/officeDocument/2006/relationships/hyperlink" Target="https://doi.org/10.33545/27080013.2022.v3.i1a.61" TargetMode="External"/><Relationship Id="rId5000693ed7badc771" Type="http://schemas.openxmlformats.org/officeDocument/2006/relationships/hyperlink" Target="https://doi.org/10.1093/jipm/pmab023" TargetMode="External"/><Relationship Id="rId2880693ed7badcbe3" Type="http://schemas.openxmlformats.org/officeDocument/2006/relationships/hyperlink" Target="http://gaga.biodiv.tw/new23/9408/079.htm" TargetMode="External"/><Relationship Id="rId2799693ed7badcd40" Type="http://schemas.openxmlformats.org/officeDocument/2006/relationships/hyperlink" Target="https://scholarworks.umass.edu/dissertations_1/5673" TargetMode="External"/><Relationship Id="rId6818693ed7badcf1e" Type="http://schemas.openxmlformats.org/officeDocument/2006/relationships/hyperlink" Target="https://gd.eppo.int" TargetMode="External"/><Relationship Id="rId3821693ed7badd0c0" Type="http://schemas.openxmlformats.org/officeDocument/2006/relationships/hyperlink" Target="https://doi.org/10.1111/j.1365-2338.2005.00875.x" TargetMode="External"/><Relationship Id="rId3108693ed7bad7745" Type="http://schemas.openxmlformats.org/officeDocument/2006/relationships/image" Target="media/imgrId3108693ed7bad7745.jpg"/><Relationship Id="rId5898693ed7bad9914" Type="http://schemas.openxmlformats.org/officeDocument/2006/relationships/image" Target="media/imgrId5898693ed7bad9914.jpg"/><Relationship Id="rId8503693ed7badd13a" Type="http://schemas.openxmlformats.org/officeDocument/2006/relationships/image" Target="media/imgrId8503693ed7badd13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