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Lycorma delicatula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Lycorma delicatula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Fulgoridae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Aphaena delicatula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blistering cicada (US), spot clothing wax cicada, spotted lanternfly (US)</w:t>
            </w:r>
            <w:hyperlink r:id="rId51826a54d3e08b6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2986a54d3e08b6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LYCMDE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43781" name="name47276a54d3e08bdce" descr="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33.jpg"/>
                          <pic:cNvPicPr/>
                        </pic:nvPicPr>
                        <pic:blipFill>
                          <a:blip r:embed="rId69776a54d3e08bdcc" cstate="print"/>
                          <a:stretch>
                            <a:fillRect/>
                          </a:stretch>
                        </pic:blipFill>
                        <pic:spPr>
                          <a:xfrm>
                            <a:off x="0" y="0"/>
                            <a:ext cx="2160000" cy="1281600"/>
                          </a:xfrm>
                          <a:prstGeom prst="rect">
                            <a:avLst/>
                          </a:prstGeom>
                          <a:ln w="0">
                            <a:noFill/>
                          </a:ln>
                        </pic:spPr>
                      </pic:pic>
                    </a:graphicData>
                  </a:graphic>
                </wp:inline>
              </w:drawing>
            </w:r>
            <w:hyperlink r:id="rId27006a54d3e08bf0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reported host range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(spotted lanternfly) is due to a combination of polyphagous feeding early in its development as well as literature listing egg laying substrates as hosts (Barringer and Ciafre, 2020).  Herbaceous plants make up a large portion of the feeding hosts for early instars, but this lessens for larger instars and adults. Woody hosts can be utilized by all life stages, but more feeding sites become available during development as larger mouthparts allow access to thicker tissues on branches and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Certain hosts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are strongly preferred by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and can support populations all year-round.  A distinction should be made when evaluating hosts records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as distinctions in the literature are not always clear between feeding hosts and egg oviposition hosts (Barringer and Ciafre,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bungei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Colutea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var. orientis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schrenkii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heterocycla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Picrasma quassioides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Platycarya strobilacea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 var. spontanea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aliena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udensis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Sorbaria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an Old World tropical species native primarily to China and South-East Asia.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introductions were detected in other countries starting with the Republic of Korea in 2004 (Kim and Kim, 2005,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where it is now widespread, and Japan in 2008 where its distribution is limited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populations in the United States were detected in 2014 in the state of Pennsylvania (Barringer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then, it has spread through the northeast Mid-Atlantic region of the United States via natural dispersal mechanisms and human assisted transportation.    </w:t>
      </w:r>
    </w:p>
    <w:p>
      <w:r>
        <w:drawing>
          <wp:inline distT="0" distB="0" distL="0" distR="0">
            <wp:extent cx="6120000" cy="3067200"/>
            <wp:docPr id="68512998" name="name63806a54d3e08e16a" descr="LYCM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MDE_distribution_map.jpg"/>
                    <pic:cNvPicPr/>
                  </pic:nvPicPr>
                  <pic:blipFill>
                    <a:blip r:embed="rId66566a54d3e08e1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Henan, Hubei, Hunan, Jiangsu, Jiangxi, Jilin, Liaoning, Neimenggu, Ningxia, Qinghai, Shaanxi, Shandong, Shanghai, Shanxi, Sichuan, Tianjin, Xinjiang, Xizhang, Yunnan, Zhejiang), Japan (Honshu, Kyushu, Ryukyu Archipelago), Korea, Republic of,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(Connecticut, Delaware, District of Columbia, Illinois, Indiana, Iowa, Kentucky, Maryland, Massachusetts, Michigan, New Jersey, North Carolina, Ohio, Pennsylvania,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 univoltine species that overwinters as egg masses in both its native and introduced ranges. These cryptic egg masses are laid on or near suitable hosts and can often be found on inanimate substrates or non-host material. Egg masses are covered with a waxy exudate secreted by the female which helps to protect against desiccation and acts to camouflage the egg mass by masking its appearance with a mud like covering. Nymphs hatch in the spring and disperse into the environment, exhibiting a cyclic behaviour of dropping off hosts and climbing up nearby new hosts or structures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during the nymphal stage is the broadest, including many herbaceous species though these hosts become decreasingly preferred as the instar mature and effectively obsolete during adulthood. The smaller plants are unable to support the feeding demand of the larger life stages.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are black with white spots.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has a striking change in colouration with a large section of red covering the head, thorax, abdomen, and wing pads. This colouration is thought to be aposematic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nymphs at this stage start showing a preference for feeding on hosts with defensive chemical compounds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These chemicals contribute to a decreased palatability to certain insect predators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life stage has a distinct colouration compared to the nymphs. Large grey wings are held sloped downward over the body with black spots basally with apical third covered in black reticulation. The body is a light brown to dark brown with darker legs. The hindwings are vividly coloured with alternating bands of black and white, with a red section. Adults are capable of short bursts of flight of one to 2 metres when disturbed and longer dispersal flights of 10-40 meters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Domingue and Baker, 2019). Adults are also able to move short distances in large groups when areas are depleted of hosts, and often move into cultivated crops in the autumn, especially orchards and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found on woody hosts such as trees and large vines due to feeding requirements. Host trees trend towards those with high sugar contents in their phloem and/or contain defensive chemicals for uptake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Aggregation behaviour on host trees results in an uneven distribution of the population, with certain trees appearing more attractive than similar adjacent trees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feeding hosts for adults include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serrata</w:t>
      </w:r>
      <w:r>
        <w:rPr>
          <w:rFonts w:ascii="Calibri" w:hAnsi="Calibri" w:eastAsia="Calibri" w:cs="Calibri"/>
          <w:color w:val="000000"/>
          <w:sz w:val="22"/>
          <w:szCs w:val="22"/>
        </w:rPr>
        <w:t xml:space="preserve"> (Barringer and Ciafre,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are most apparent with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nymphs and adults. The feeding on phloem tissue can lead to branch flagging and wilting, weeping wounds on tree trunks and branches, and in very heavy infestations, fungal mats at the base of a tree resulting from large accumulations of honeydew (sugary by-product excretions from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Sooty mould can develop on the leaf surfaces below the feeding area and on understory plants as honeydew is excreted in large quantities. This mould coats leaves reducing photosynthesis and results in early leaf drop and dieback. Understories under heavily fed upon trees can be stunted or killed and there may be a blackened, burned looking surface on the ground. Fruit crops can experience reduced harvest, sugar and nutritional content, and mould accumulation, especially in vineyards.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commonly based on the examination of adult specimens, however molecular identification on all life stages can be carried out using conventional PCR followed by Sanger sequencing analysis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are laid in cryptic egg masses of approximately 30-50 eggs per mass. The individual eggs are small (1 mm in length) brown ovals and laid in 3-5 rows (Dara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The outward surface has an operculum, a darker, narrow oval that will be used as an exit for the emerging nymph. The entire egg mass is covered by a waxy substance secreted by the female, completing the ootheca. This waxy coating is initially whitish-grey and darkens over time to a dark grey. The waxy covering will degrade over time, given the covering a dried mud like appearance, with cracks in the surface and possibly flaking. Egg masses are typically laid on flat surfaces in natural environments such as tree trunks, flat rocks, under bark, and other protected spaces. Man-made structures also provide suitable substrates such as patio furniture, fence posts, rusted metal, outdoor structures (Liu, 2019). Egg mass remnants can be observed over a year after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nymphs have two distinct appearances depending on the instars. The first, second and third instars are black with white spots on the body and appendages. Visually, the only differences between each life stage is the overall length with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approximately 3.5-4.5 mm,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approximately 5-6.5 mm, and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approximately 7-9.5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larger fourth instar is approximately 11-15 mm in length and has a brightly coloured form with red patches on the head, thorax, wing pads, and abdomen. White spots are still present on the legs and body. All stages are mobile with excellent jumping abilities which enable them to avoid predation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superficially resemble moths when at rest. The wings are held sloped downward over the body. The thorax and head are a light brown with the legs dark brown. The forewings are greyish with black spots on the basal two-thirds with the apical third covered in reticulated venation over smaller dark bands. The hind wings are banded with black and white with large red posterior area, spotted with black. The abdomen is black dorsally and ventrally, with yellow integument laterally. The yellow integument will swell with feeding and egg development, separating abdominal sclerotized sections and showing yellow bands between tergites. Females can be distinguished by the red posterior caudal structures and their generally larger size (females range between 24-27 mm in length whereas males are 21-22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varies depending on the life stage being investigated. Egg masses are cryptically coloured and camouflaged and can be laid in protected areas making detection difficult. The protective wax covering of the egg mass resembled dried mud, that takes on a dried, cracked mud like appearance as it ages. The mud colour patches, roughly 2.5-5 cm long, can be laid on a variety of materials such as shipping containers, quarried stone, pallets, vehicle undercarriages and wheels, and other man-made materials involved in commerce. In the outdoor environment, detection of egg masses is complicated by eggs being laid on similar coloured tree trunks, in sheltered spaces under rocks or tree bark, or high in tree canopies.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do not typically produce any detectable symptoms or damage as their feeding pressure typically does not cause obvious symptoms.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can, in large enough numbers, cause wilting on smaller plants and flagging of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trapping methods include placing several traps on trunks of host trees to exploit the lanternfly’s climbing behaviour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traps include sticky paper bands and modified pecan weevil traps (circle trunk traps) which have various advantages and disadvantages. Sticky traps, while easy to install, are less useful against the later instars and adults. Circle trunk traps are effective against all life stages and are reusable but require more investment in materials per tree.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facilitated by natural and human mechanisms. Natural methods of spread rely on two strategies that result in slow localized spread. The first dispersal method is spread of nymphs after hatching as they move through the environment feeding on different hosts and their cyclic feeding patterns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second dispersal method is dispersal flights or migratory flights by adults. These are due to either population density pressures or depletion of local resources by heavy feeding. Under ideal conditions females could advance upwind distances greater than three kilometres with repeated sustained flights in a short time frame (Wolfin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Typically, field observations of flight were much shorter, under 30 metres, for durations insufficient to travel several kilometres.</w:t>
      </w:r>
    </w:p>
    <w:p>
      <w:pPr>
        <w:widowControl w:val="on"/>
        <w:pBdr/>
        <w:spacing w:before="0" w:after="0" w:line="240" w:lineRule="auto"/>
        <w:ind w:left="0" w:right="0"/>
        <w:jc w:val="left"/>
      </w:pPr>
      <w:r>
        <w:rPr>
          <w:rFonts w:ascii="Calibri" w:hAnsi="Calibri" w:eastAsia="Calibri" w:cs="Calibri"/>
          <w:color w:val="000000"/>
          <w:sz w:val="22"/>
          <w:szCs w:val="22"/>
        </w:rPr>
        <w:t xml:space="preserve">
In international trade, the pathways with a risk of introduction are woody plants for planting (except seeds), round wood and sawn wood, wood packaging material as well as man-made items and inert objects (such as stones, containers, used vehicles). In addition, wood pieces and bark (above a certain size) may also present a risk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was recently studied by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effects of quarantine requirements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have led to millions of dollars (US) of impact to agricultural businesses in infested and adjacent regions. The authors also examined impacts on the total economy. Indirect costs may also be considered in quality-of-life issues as sooty mould from feeding can also contribute to economic impacts for homeowners (Urban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present in the Republic of Korea since 2004 and increasing spread and damage has been observed (Kim and Kim, 2005). Grapevines have been particularly affected with increasing hectares of crops damaged through direct feeding and sooty mould damage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Park, 2009; Lee,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mention that the density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high in urban areas on </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been shown to be effective in controlling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 both residential, commercial, and industrial settings. A variety of chemical controls such as contact sprays, residual sprays, and systemic insecticides have all been effective at killing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Clifton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Cultural controls such as exclusion netting, sticky tree bands and circle trunk traps can be used to control or exclude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with varying levels of success. Exclusion netting can work well for vineyards, excluding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delicatula</w:t>
      </w:r>
      <w:r>
        <w:rPr>
          <w:rFonts w:ascii="Calibri" w:hAnsi="Calibri" w:eastAsia="Calibri" w:cs="Calibri"/>
          <w:color w:val="000000"/>
          <w:sz w:val="22"/>
          <w:szCs w:val="22"/>
        </w:rPr>
        <w:t xml:space="preserve"> from the fruit or the entire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there are no biological control agents available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Natural enemies have been identified in China, but are not yet used in biocontrol (e.g. </w:t>
      </w:r>
      <w:r>
        <w:rPr>
          <w:rFonts w:ascii="Calibri" w:hAnsi="Calibri" w:eastAsia="Calibri" w:cs="Calibri"/>
          <w:i/>
          <w:iCs/>
          <w:color w:val="000000"/>
          <w:sz w:val="22"/>
          <w:szCs w:val="22"/>
        </w:rPr>
        <w:t xml:space="preserve">Dryinus browni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Dryinus lycormae</w:t>
      </w:r>
      <w:r>
        <w:rPr>
          <w:rFonts w:ascii="Calibri" w:hAnsi="Calibri" w:eastAsia="Calibri" w:cs="Calibri"/>
          <w:color w:val="000000"/>
          <w:sz w:val="22"/>
          <w:szCs w:val="22"/>
        </w:rPr>
        <w:t xml:space="preserve"> (Dong, 1983, 1987; Yang, 1994);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Ooencyrtus kuvanae </w:t>
      </w:r>
      <w:r>
        <w:rPr>
          <w:rFonts w:ascii="Calibri" w:hAnsi="Calibri" w:eastAsia="Calibri" w:cs="Calibri"/>
          <w:color w:val="000000"/>
          <w:sz w:val="22"/>
          <w:szCs w:val="22"/>
        </w:rPr>
        <w:t xml:space="preserve">has been documented parasitizing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eggs in North America but is not host specific limiting is possible benefits (Liu, 2017).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is under investigation both in the Republic of Korea and the USA as a potential biological control agent, because of high rates of parasitism of eggs (Broadley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Exploratory work in China has suggested an additional candidate for further investigation: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considered a phytosanitary risk due to its polyphagous feeding habits and economic damage associated with feeding. It is a quarantine pest for Canada and Morocco. It has caused economic impacts in its introduced ranges, in both the Republic of Korea and the United States of America. Feeding damage has been found on commodities such as grapes and orchard fruits and several valuable hardwoods. Repeated heavy feeding pressure can result in reduced or no yields in crops and can stunt growth and possibly lead to mortality in preferred hosts over long periods.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can be moved over long distances easily in the egg mass stage it poses a significant risk of introduction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imported materials coming from infested regions should be inspected for the presence of egg masses. Unless fresh plant material is present, there is little to no risk of nymphs or adults being present due to feeding needs. </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2016)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Woody plants for planting (except seeds) of known hosts should originate from areas free from the pest or from a pest free production site and be stored and transported in conditions preventing egg-laying (through pest free areas, or outside of the pest flying period, or enclosed). Alternatively, woody hosts should be grown under complete physical isolation and packaging should be free from the pest and stored and transported as above or plants should be transported with stems/branches with a diameter &lt; 1 cm.</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roundwood and sawn wood, the commodity should originate from a pest free area and stored and transported in conditions preventing egg-laying (as above). Or it should be treated (heat treatment or irradiation) or squared (to remove the wood surface) and stored and transported in conditions that prevent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woodchips, hogwood, processed wood residues and bark: chips or bark should be cut to a size below 2.5 x 2.5 cm in two dimensions or originate from a pest free area and transported in conditions that prevent egg-laying or heat treated and stored and transported in conditions preventing egg-laying.</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populations may allow for steps to be taken to prevent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from its introduction point. This could include removal of host material in the area, chemical treatment of trap trees, and other mitigation efforts.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TC, Smyers EC, Urban JM, Meng Z, Pagadala Damadaram KJ, Myrick AJ, Cooperband MF &amp; Domingue MJ (2019) Progression of seasonal activities of adults of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during the 2017 season of mass flight dispersal behavior in eastern Pennsylvania.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705-713.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Donovall LR, Spichiger S-E, Lynch D &amp; Henry D (2015) The first New World record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20–23.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&amp; Ciafré CM (2020) Worldwide feeding host plants of spotted lanternfly, with significant additions from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999–1011.</w:t>
      </w:r>
    </w:p>
    <w:p>
      <w:pPr>
        <w:widowControl w:val="on"/>
        <w:pBdr/>
        <w:spacing w:before="220" w:after="220" w:line="240" w:lineRule="auto"/>
        <w:ind w:left="0" w:right="0"/>
        <w:jc w:val="left"/>
      </w:pPr>
      <w:r>
        <w:rPr>
          <w:rFonts w:ascii="Calibri" w:hAnsi="Calibri" w:eastAsia="Calibri" w:cs="Calibri"/>
          <w:color w:val="000000"/>
          <w:sz w:val="22"/>
          <w:szCs w:val="22"/>
        </w:rPr>
        <w:t xml:space="preserve">Broadley HJ, Gould JR, Sullivan LT, Wang X-Y, Hoelmer KA, Hickin ML, &amp; Elkinton JS (2020) Life history and rearing of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(Hymenoptera: Eupelmidae), an egg parasitoid of the spotted lanternfly (Hemiptera: Fulgoridae).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Clifton EH, Hajek AE, Jenkins NE, Roush RT, Rost JP, &amp; Biddinger DJ (2020) Applications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to control populations of spotted lanternfly (Hemiptera: Fulgoridae), in semi-natural landscapes and on grapevines.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854–864.</w:t>
      </w:r>
    </w:p>
    <w:p>
      <w:pPr>
        <w:widowControl w:val="on"/>
        <w:pBdr/>
        <w:spacing w:before="220" w:after="220" w:line="240" w:lineRule="auto"/>
        <w:ind w:left="0" w:right="0"/>
        <w:jc w:val="left"/>
      </w:pPr>
      <w:r>
        <w:rPr>
          <w:rFonts w:ascii="Calibri" w:hAnsi="Calibri" w:eastAsia="Calibri" w:cs="Calibri"/>
          <w:color w:val="000000"/>
          <w:sz w:val="22"/>
          <w:szCs w:val="22"/>
        </w:rPr>
        <w:t xml:space="preserve">Dara SK, Barringer LE, &amp; Arthurs SP (2015)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invasive pest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&amp; Baker TC (2019) Orientation of flight for physically disturbed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117–120. </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Cooperband MF, &amp; Baker TC (2020) Skewed adult sex ratios observed early in the North American invasion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425–429.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7/144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477-483.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Pest Risk Analysis for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Paris. Available at </w:t>
      </w:r>
      <w:hyperlink r:id="rId81886a54d3e08f7b9"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Cooperband MF, Murman KM, Cannon SL, Booth EG, Devine SM, &amp; Wallace MS (2020) Developing traps for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269-276.</w:t>
      </w:r>
    </w:p>
    <w:p>
      <w:pPr>
        <w:widowControl w:val="on"/>
        <w:pBdr/>
        <w:spacing w:before="220" w:after="220" w:line="240" w:lineRule="auto"/>
        <w:ind w:left="0" w:right="0"/>
        <w:jc w:val="left"/>
      </w:pPr>
      <w:r>
        <w:rPr>
          <w:rFonts w:ascii="Calibri" w:hAnsi="Calibri" w:eastAsia="Calibri" w:cs="Calibri"/>
          <w:color w:val="000000"/>
          <w:sz w:val="22"/>
          <w:szCs w:val="22"/>
        </w:rPr>
        <w:t xml:space="preserve">Han JM, Kim H, Lim EJ, Lee S, Kwon Y-J, &amp; Cho S (2008)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Auchenorrhyncha: Fulgoridae: Aphaeninae) finally, but suddenly arrived in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281–286.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JK, Stone W, Kelsey TW, &amp; Kime LF (2019) Potential economic impact of the spotted lanternfly on agriculture and forestry in Pennsylvania. Center for Rural Pennsylvania. Harrisburg, Pa. </w:t>
      </w:r>
      <w:hyperlink r:id="rId29876a54d3e08f90d" w:history="1">
        <w:r>
          <w:rPr>
            <w:rFonts w:ascii="Calibri" w:hAnsi="Calibri" w:eastAsia="Calibri" w:cs="Calibri"/>
            <w:color w:val="0000CC"/>
            <w:sz w:val="22"/>
            <w:szCs w:val="22"/>
            <w:u w:val="single"/>
          </w:rPr>
          <w:t xml:space="preserve">https://www.rural.palegislature.us/documents/reports/Spotted-Lanternfly-2019.pdf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Kang C-K, Lee S-I, &amp; Jablonski PG (2011) Effect of sex and bright coloration on survival and predator-induced wing damage in an aposematic lantern fly with startle display. </w:t>
      </w:r>
      <w:r>
        <w:rPr>
          <w:rFonts w:ascii="Calibri" w:hAnsi="Calibri" w:eastAsia="Calibri" w:cs="Calibri"/>
          <w:i/>
          <w:iCs/>
          <w:color w:val="000000"/>
          <w:sz w:val="22"/>
          <w:szCs w:val="22"/>
        </w:rPr>
        <w:t xml:space="preserve">Ecological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Kang C-K, Moon H, Sherratt TN, Lee S-I &amp; Jablonski PG (2017) Multiple lines of anti-predator defence in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(Hemiptera: Fulgoridae).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115-124.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Keller</w:t>
      </w:r>
      <w:r>
        <w:rPr>
          <w:rFonts w:ascii="Calibri" w:hAnsi="Calibri" w:eastAsia="Calibri" w:cs="Calibri"/>
          <w:color w:val="000000"/>
          <w:sz w:val="22"/>
          <w:szCs w:val="22"/>
        </w:rPr>
        <w:t xml:space="preserve"> JA, Johnson AE, Uyi O, Wurzbacher S, Long D, &amp; Hoover K (2020) Dispersal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through contiguous, deciduous forest. </w:t>
      </w:r>
      <w:r>
        <w:rPr>
          <w:rFonts w:ascii="Calibri" w:hAnsi="Calibri" w:eastAsia="Calibri" w:cs="Calibri"/>
          <w:i/>
          <w:iCs/>
          <w:color w:val="000000"/>
          <w:sz w:val="22"/>
          <w:szCs w:val="22"/>
        </w:rPr>
        <w:t xml:space="preserve">Environmental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1012–1018.</w:t>
      </w:r>
    </w:p>
    <w:p>
      <w:pPr>
        <w:widowControl w:val="on"/>
        <w:pBdr/>
        <w:spacing w:before="220" w:after="220" w:line="240" w:lineRule="auto"/>
        <w:ind w:left="0" w:right="0"/>
        <w:jc w:val="left"/>
      </w:pPr>
      <w:r>
        <w:rPr>
          <w:rFonts w:ascii="Calibri" w:hAnsi="Calibri" w:eastAsia="Calibri" w:cs="Calibri"/>
          <w:color w:val="000000"/>
          <w:sz w:val="22"/>
          <w:szCs w:val="22"/>
        </w:rPr>
        <w:t xml:space="preserve">Kim SS &amp; Kim SW (2005)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(White) (Hemiptera: Fulgoridae) in Korea. </w:t>
      </w:r>
      <w:r>
        <w:rPr>
          <w:rFonts w:ascii="Calibri" w:hAnsi="Calibri" w:eastAsia="Calibri" w:cs="Calibri"/>
          <w:i/>
          <w:iCs/>
          <w:color w:val="000000"/>
          <w:sz w:val="22"/>
          <w:szCs w:val="22"/>
        </w:rPr>
        <w:t xml:space="preserve">Lucanus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Kim S-K, Lee G-Y, Shin Y-H, &amp; Kim G-HJ (2010) Chemical control effect against spot clothing wax cicada,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and adults.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Kim JG, Lee E-H, Seo Y-M, &amp; Kim NY (2011) Cyclic behavior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on host plants.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423–435.</w:t>
      </w:r>
    </w:p>
    <w:p>
      <w:pPr>
        <w:widowControl w:val="on"/>
        <w:pBdr/>
        <w:spacing w:before="220" w:after="220" w:line="240" w:lineRule="auto"/>
        <w:ind w:left="0" w:right="0"/>
        <w:jc w:val="left"/>
      </w:pPr>
      <w:r>
        <w:rPr>
          <w:rFonts w:ascii="Calibri" w:hAnsi="Calibri" w:eastAsia="Calibri" w:cs="Calibri"/>
          <w:color w:val="000000"/>
          <w:sz w:val="22"/>
          <w:szCs w:val="22"/>
        </w:rPr>
        <w:t xml:space="preserve">Kim HJ, Kim MY, Kwon DH, Park SW, Lee YR, Huang JH, Kai S, Lee H-S, Hong K-J, Jang YK, &amp; Lee SH (2013) Molecular comparison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isolates in Korea, China, and Japan.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Biddinger DJ, Krawczyk G, Smyers E, &amp; Urban JM (2019) Evaluation of insecticides for control of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pest of fruit in the Northeastern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104833.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JE, Moon SR, Ahn HG, Cho SR, Yang JO, Yoon C, &amp; Kim JH (2009) Feeding 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(Heimptera: Fulgoridae) and response on feeding stimulants of some plants.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467-477.</w:t>
      </w:r>
    </w:p>
    <w:p>
      <w:pPr>
        <w:widowControl w:val="on"/>
        <w:pBdr/>
        <w:spacing w:before="220" w:after="220" w:line="240" w:lineRule="auto"/>
        <w:ind w:left="0" w:right="0"/>
        <w:jc w:val="left"/>
      </w:pPr>
      <w:r>
        <w:rPr>
          <w:rFonts w:ascii="Calibri" w:hAnsi="Calibri" w:eastAsia="Calibri" w:cs="Calibri"/>
          <w:color w:val="000000"/>
          <w:sz w:val="22"/>
          <w:szCs w:val="22"/>
        </w:rPr>
        <w:t xml:space="preserve">Lee D, Park Y, &amp; Leskey TC (2019) A review of biology and management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an emerging global invasive species.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(2017) An old remedy for a new problem? Identificiation of </w:t>
      </w:r>
      <w:r>
        <w:rPr>
          <w:rFonts w:ascii="Calibri" w:hAnsi="Calibri" w:eastAsia="Calibri" w:cs="Calibri"/>
          <w:i/>
          <w:iCs/>
          <w:color w:val="000000"/>
          <w:sz w:val="22"/>
          <w:szCs w:val="22"/>
        </w:rPr>
        <w:t xml:space="preserve">Ooencyrtus kuvanae</w:t>
      </w:r>
      <w:r>
        <w:rPr>
          <w:rFonts w:ascii="Calibri" w:hAnsi="Calibri" w:eastAsia="Calibri" w:cs="Calibri"/>
          <w:color w:val="000000"/>
          <w:sz w:val="22"/>
          <w:szCs w:val="22"/>
        </w:rPr>
        <w:t xml:space="preserve"> (Hymenoptera: Encyrtidae), an egg parasitoid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in North America.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(2019) Oviposition substrate selection, egg mass characteristics, host preference, and life history of the spotted lanternfly (Hemiptera: Fulgoridae) in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1452-1468.</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Kim MY, Lee SG, Shin SC, Kim JH, &amp; Park IK (2009) Biological characteristics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and the control effects of some insecticides.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53-57.</w:t>
      </w:r>
    </w:p>
    <w:p>
      <w:pPr>
        <w:widowControl w:val="on"/>
        <w:pBdr/>
        <w:spacing w:before="220" w:after="220" w:line="240" w:lineRule="auto"/>
        <w:ind w:left="0" w:right="0"/>
        <w:jc w:val="left"/>
      </w:pPr>
      <w:r>
        <w:rPr>
          <w:rFonts w:ascii="Calibri" w:hAnsi="Calibri" w:eastAsia="Calibri" w:cs="Calibri"/>
          <w:color w:val="000000"/>
          <w:sz w:val="22"/>
          <w:szCs w:val="22"/>
        </w:rPr>
        <w:t xml:space="preserve">Shin YH, Moon SR, Yoon C, Ahn KS, &amp; Kim GH (2010) Insecticidal activity of 26 insecticides against eggs and nymphs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157–163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Song S, Kim S, Kwon SW, Lee S-I, &amp; Jablonski PG (2018) Defense sequestration associated with narrowing of diet and ontogenetic change to aposematic colours in the spotted lanternfly.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16831.</w:t>
      </w:r>
    </w:p>
    <w:p>
      <w:pPr>
        <w:widowControl w:val="on"/>
        <w:pBdr/>
        <w:spacing w:before="220" w:after="220" w:line="240" w:lineRule="auto"/>
        <w:ind w:left="0" w:right="0"/>
        <w:jc w:val="left"/>
      </w:pPr>
      <w:r>
        <w:rPr>
          <w:rFonts w:ascii="Calibri" w:hAnsi="Calibri" w:eastAsia="Calibri" w:cs="Calibri"/>
          <w:color w:val="000000"/>
          <w:sz w:val="22"/>
          <w:szCs w:val="22"/>
        </w:rPr>
        <w:t xml:space="preserve">Urban JM (2019) Perspective: shedding light on spotted lanternfly impacts in the USA.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10-17.</w:t>
      </w:r>
    </w:p>
    <w:p>
      <w:pPr>
        <w:widowControl w:val="on"/>
        <w:pBdr/>
        <w:spacing w:before="220" w:after="220" w:line="240" w:lineRule="auto"/>
        <w:ind w:left="0" w:right="0"/>
        <w:jc w:val="left"/>
      </w:pPr>
      <w:r>
        <w:rPr>
          <w:rFonts w:ascii="Calibri" w:hAnsi="Calibri" w:eastAsia="Calibri" w:cs="Calibri"/>
          <w:color w:val="000000"/>
          <w:sz w:val="22"/>
          <w:szCs w:val="22"/>
        </w:rPr>
        <w:t xml:space="preserve">Wolfin MS, Myrick AJ &amp; Baker TC (2020) Flight duration capabilities of dispersing adult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125-137.</w:t>
      </w:r>
    </w:p>
    <w:p>
      <w:pPr>
        <w:widowControl w:val="on"/>
        <w:pBdr/>
        <w:spacing w:before="220" w:after="220" w:line="240" w:lineRule="auto"/>
        <w:ind w:left="0" w:right="0"/>
        <w:jc w:val="left"/>
      </w:pPr>
      <w:r>
        <w:rPr>
          <w:rFonts w:ascii="Calibri" w:hAnsi="Calibri" w:eastAsia="Calibri" w:cs="Calibri"/>
          <w:color w:val="000000"/>
          <w:sz w:val="22"/>
          <w:szCs w:val="22"/>
        </w:rPr>
        <w:t xml:space="preserve">Xin B, Zhang Y-L, Wang X-Y, Cao L-M, Hoelmer KA, Broadley HJ, &amp; Gould JR (2021) Exploratory survey of spotted lanternfly (Hemiptera: Fulgoridae) and its natural enemies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36–45.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Lawrence Barringer.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datasheets on pests recommended for regulation. Available online. </w:t>
      </w:r>
      <w:hyperlink r:id="rId93456a54d3e0902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701368" name="name92386a54d3e0903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406a54d3e0903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02582">
    <w:multiLevelType w:val="hybridMultilevel"/>
    <w:lvl w:ilvl="0" w:tplc="21058943">
      <w:start w:val="1"/>
      <w:numFmt w:val="decimal"/>
      <w:lvlText w:val="%1."/>
      <w:lvlJc w:val="left"/>
      <w:pPr>
        <w:ind w:left="720" w:hanging="360"/>
      </w:pPr>
    </w:lvl>
    <w:lvl w:ilvl="1" w:tplc="21058943" w:tentative="1">
      <w:start w:val="1"/>
      <w:numFmt w:val="lowerLetter"/>
      <w:lvlText w:val="%2."/>
      <w:lvlJc w:val="left"/>
      <w:pPr>
        <w:ind w:left="1440" w:hanging="360"/>
      </w:pPr>
    </w:lvl>
    <w:lvl w:ilvl="2" w:tplc="21058943" w:tentative="1">
      <w:start w:val="1"/>
      <w:numFmt w:val="lowerRoman"/>
      <w:lvlText w:val="%3."/>
      <w:lvlJc w:val="right"/>
      <w:pPr>
        <w:ind w:left="2160" w:hanging="180"/>
      </w:pPr>
    </w:lvl>
    <w:lvl w:ilvl="3" w:tplc="21058943" w:tentative="1">
      <w:start w:val="1"/>
      <w:numFmt w:val="decimal"/>
      <w:lvlText w:val="%4."/>
      <w:lvlJc w:val="left"/>
      <w:pPr>
        <w:ind w:left="2880" w:hanging="360"/>
      </w:pPr>
    </w:lvl>
    <w:lvl w:ilvl="4" w:tplc="21058943" w:tentative="1">
      <w:start w:val="1"/>
      <w:numFmt w:val="lowerLetter"/>
      <w:lvlText w:val="%5."/>
      <w:lvlJc w:val="left"/>
      <w:pPr>
        <w:ind w:left="3600" w:hanging="360"/>
      </w:pPr>
    </w:lvl>
    <w:lvl w:ilvl="5" w:tplc="21058943" w:tentative="1">
      <w:start w:val="1"/>
      <w:numFmt w:val="lowerRoman"/>
      <w:lvlText w:val="%6."/>
      <w:lvlJc w:val="right"/>
      <w:pPr>
        <w:ind w:left="4320" w:hanging="180"/>
      </w:pPr>
    </w:lvl>
    <w:lvl w:ilvl="6" w:tplc="21058943" w:tentative="1">
      <w:start w:val="1"/>
      <w:numFmt w:val="decimal"/>
      <w:lvlText w:val="%7."/>
      <w:lvlJc w:val="left"/>
      <w:pPr>
        <w:ind w:left="5040" w:hanging="360"/>
      </w:pPr>
    </w:lvl>
    <w:lvl w:ilvl="7" w:tplc="21058943" w:tentative="1">
      <w:start w:val="1"/>
      <w:numFmt w:val="lowerLetter"/>
      <w:lvlText w:val="%8."/>
      <w:lvlJc w:val="left"/>
      <w:pPr>
        <w:ind w:left="5760" w:hanging="360"/>
      </w:pPr>
    </w:lvl>
    <w:lvl w:ilvl="8" w:tplc="21058943" w:tentative="1">
      <w:start w:val="1"/>
      <w:numFmt w:val="lowerRoman"/>
      <w:lvlText w:val="%9."/>
      <w:lvlJc w:val="right"/>
      <w:pPr>
        <w:ind w:left="6480" w:hanging="180"/>
      </w:pPr>
    </w:lvl>
  </w:abstractNum>
  <w:abstractNum w:abstractNumId="77502581">
    <w:multiLevelType w:val="hybridMultilevel"/>
    <w:lvl w:ilvl="0" w:tplc="75490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02581">
    <w:abstractNumId w:val="77502581"/>
  </w:num>
  <w:num w:numId="77502582">
    <w:abstractNumId w:val="775025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769652" Type="http://schemas.microsoft.com/office/2011/relationships/commentsExtended" Target="commentsExtended.xml"/><Relationship Id="rId991251471" Type="http://schemas.microsoft.com/office/2011/relationships/people" Target="people.xml"/><Relationship Id="rId51826a54d3e08b630" Type="http://schemas.openxmlformats.org/officeDocument/2006/relationships/hyperlink" Target="https://gd.eppo.int/taxon/LYCMDE/" TargetMode="External"/><Relationship Id="rId62986a54d3e08b6aa" Type="http://schemas.openxmlformats.org/officeDocument/2006/relationships/hyperlink" Target="https://gd.eppo.int/taxon/LYCMDE/categorization" TargetMode="External"/><Relationship Id="rId27006a54d3e08bf06" Type="http://schemas.openxmlformats.org/officeDocument/2006/relationships/hyperlink" Target="https://gd.eppo.int/taxon/LYCMDE/photos" TargetMode="External"/><Relationship Id="rId81886a54d3e08f7b9" Type="http://schemas.openxmlformats.org/officeDocument/2006/relationships/hyperlink" Target="http://www.eppo.int/QUARANTINE/Pest_Risk_Analysis/PRA_intro.htm" TargetMode="External"/><Relationship Id="rId29876a54d3e08f90d" Type="http://schemas.openxmlformats.org/officeDocument/2006/relationships/hyperlink" Target="https://www.rural.palegislature.us/documents/reports/Spotted-Lanternfly-2019.pdf" TargetMode="External"/><Relationship Id="rId93456a54d3e090233" Type="http://schemas.openxmlformats.org/officeDocument/2006/relationships/hyperlink" Target="https://gd.eppo.int" TargetMode="External"/><Relationship Id="rId69776a54d3e08bdcc" Type="http://schemas.openxmlformats.org/officeDocument/2006/relationships/image" Target="media/imgrId69776a54d3e08bdcc.jpg"/><Relationship Id="rId66566a54d3e08e166" Type="http://schemas.openxmlformats.org/officeDocument/2006/relationships/image" Target="media/imgrId66566a54d3e08e166.jpg"/><Relationship Id="rId43406a54d3e090305" Type="http://schemas.openxmlformats.org/officeDocument/2006/relationships/image" Target="media/imgrId43406a54d3e0903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