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Liriomyza huidobrensis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Liriomyza huidobrensis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(Blanchard)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Agromyzidae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Agromyza huidobrensis</w:t>
            </w:r>
            <w:r>
              <w:rPr>
                <w:rFonts w:ascii="Calibri" w:hAnsi="Calibri" w:eastAsia="Calibri" w:cs="Calibri"/>
                <w:color w:val="000000"/>
                <w:position w:val="-3"/>
                <w:sz w:val="22"/>
                <w:szCs w:val="22"/>
              </w:rPr>
              <w:t xml:space="preserve"> Blanchard, </w:t>
            </w:r>
            <w:r>
              <w:rPr>
                <w:rFonts w:ascii="Calibri" w:hAnsi="Calibri" w:eastAsia="Calibri" w:cs="Calibri"/>
                <w:i/>
                <w:iCs/>
                <w:color w:val="000000"/>
                <w:position w:val="-3"/>
                <w:sz w:val="22"/>
                <w:szCs w:val="22"/>
              </w:rPr>
              <w:t xml:space="preserve">Liriomyza cucumifoliae</w:t>
            </w:r>
            <w:r>
              <w:rPr>
                <w:rFonts w:ascii="Calibri" w:hAnsi="Calibri" w:eastAsia="Calibri" w:cs="Calibri"/>
                <w:color w:val="000000"/>
                <w:position w:val="-3"/>
                <w:sz w:val="22"/>
                <w:szCs w:val="22"/>
              </w:rPr>
              <w:t xml:space="preserve"> Blanchard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South American leaf miner, pea leaf miner, potato leaf miner, serpentine leaf miner</w:t>
            </w:r>
            <w:hyperlink r:id="rId74806a7b65ed4f7e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79156a7b65ed4f85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LIRIHU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7992492" name="name34546a7b65ed5004b" descr="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jpg"/>
                          <pic:cNvPicPr/>
                        </pic:nvPicPr>
                        <pic:blipFill>
                          <a:blip r:embed="rId30016a7b65ed50049" cstate="print"/>
                          <a:stretch>
                            <a:fillRect/>
                          </a:stretch>
                        </pic:blipFill>
                        <pic:spPr>
                          <a:xfrm>
                            <a:off x="0" y="0"/>
                            <a:ext cx="2160000" cy="1281600"/>
                          </a:xfrm>
                          <a:prstGeom prst="rect">
                            <a:avLst/>
                          </a:prstGeom>
                          <a:ln w="0">
                            <a:noFill/>
                          </a:ln>
                        </pic:spPr>
                      </pic:pic>
                    </a:graphicData>
                  </a:graphic>
                </wp:inline>
              </w:drawing>
            </w:r>
            <w:hyperlink r:id="rId47676a7b65ed5019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is morphologically indistinguishable from </w:t>
      </w:r>
      <w:r>
        <w:rPr>
          <w:rFonts w:ascii="Calibri" w:hAnsi="Calibri" w:eastAsia="Calibri" w:cs="Calibri"/>
          <w:i/>
          <w:iCs/>
          <w:color w:val="000000"/>
          <w:sz w:val="22"/>
          <w:szCs w:val="22"/>
        </w:rPr>
        <w:t xml:space="preserve">L. langei</w:t>
      </w:r>
      <w:r>
        <w:rPr>
          <w:rFonts w:ascii="Calibri" w:hAnsi="Calibri" w:eastAsia="Calibri" w:cs="Calibri"/>
          <w:color w:val="000000"/>
          <w:sz w:val="22"/>
          <w:szCs w:val="22"/>
        </w:rPr>
        <w:t xml:space="preserve">. However, the distinction between the two species has been confirmed by molecular studies (Scheffer, 2000; Scheffer &amp; Lewis, 2001; Takano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Agromyzidae are usually restricted to a limited number of host plants but a few species are highly polyphagous and have become important pests.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is one of these species and causes severe damage to vegetable crops and ornamental plants. In a review, Weintraub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have recorded 365 host plant species from 49 families.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is a key pest of potato especially in South America. In the EPPO region,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is a major pest of chrysanthemums, </w:t>
      </w:r>
      <w:r>
        <w:rPr>
          <w:rFonts w:ascii="Calibri" w:hAnsi="Calibri" w:eastAsia="Calibri" w:cs="Calibri"/>
          <w:i/>
          <w:iCs/>
          <w:color w:val="000000"/>
          <w:sz w:val="22"/>
          <w:szCs w:val="22"/>
        </w:rPr>
        <w:t xml:space="preserve">Primula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w:t>
      </w:r>
      <w:r>
        <w:rPr>
          <w:rFonts w:ascii="Calibri" w:hAnsi="Calibri" w:eastAsia="Calibri" w:cs="Calibri"/>
          <w:color w:val="000000"/>
          <w:sz w:val="22"/>
          <w:szCs w:val="22"/>
        </w:rPr>
        <w:t xml:space="preserve">, lettuces,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cucumbers, celery and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(ADAS, 1991).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ampeloprasum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ascalonicum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fistulosum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schoenoprasum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Alstroemeria 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 var. dulce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lappa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minus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argyi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Barbarea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Basella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Bellis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 subsp. vulgaris var. cicla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 subsp. vulgaris var. conditiva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 subsp. vulgaris var. crassa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alboglabra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pekinensis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Bupleurum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 crenatiflora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hederacea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Carduus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Carduus nutans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Carthamus tinctorius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cyanus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Centella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hircinum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petiolare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endivia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Cineraria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Clarkia amoena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Conyza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bipinnatus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Crassocephalum crepidioides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Crassocephalum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pulchra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longirostrata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 var. styriaca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imperialis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ferox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 subsp.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Deeringia amaranthoides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Diascia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Dichrocephala auriculata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Diplotaxis muralis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Echinops ritro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Eclipta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sonchifolia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hieraciifolius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breviscapus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caelestinum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Freesia refracta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pulchella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Gazania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Goniolimon tataricum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Hemerocallis fulva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Hemistepta lyrata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trionum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Hirschfeldia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Hydrocotyle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balsamina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Kalimeris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 var. angustana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 var. crispa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 var.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Lagurus ovatus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latifolius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Launaea intybacea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Leonurus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Leonurus sibiricus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Levisticum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longiflorum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platyphyllum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Matthiola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Moluccella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Myosotis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Nasturtium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Nemesia strumosa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Nigella damascena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Oenanthe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Osteospermum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corniculata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rhoeas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cruenta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amphibia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hydropiper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nepalensis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coccineus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Platycodon grandiflorus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obconica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Pseudognaphalium affine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Pycnosorus globosus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asiaticus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sceleratus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sieboldii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Rhodanthe chlorocephala subsp.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Rorippa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Rorippa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Sagittaria sagittifolia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splendens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Schistocarpha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Scilla luciliae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gallica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brachyotus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uliginosa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Stephania delavayi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Synedrella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tenuifolia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cinerariifolium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parthenium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mongolicum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Trianthema portulacastrum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Vaccaria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anagallis-aquatica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tetrasperma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philippica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yezoensis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Xerochrysum bracteatum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Zehneria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originates in Central and South America and was absent from other continents until the 1980s. It was first detected in the EPPO region in 1987 in the Netherlands where it was found on glasshouse lettuces. It has since spread to several other European countries, Asia, Africa, North America and Oceania.</w:t>
      </w:r>
    </w:p>
    <w:p>
      <w:r>
        <w:drawing>
          <wp:inline distT="0" distB="0" distL="0" distR="0">
            <wp:extent cx="6120000" cy="3067200"/>
            <wp:docPr id="69872743" name="name46856a7b65ed539c5" descr="LIRIH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RIHU_distribution_map.jpg"/>
                    <pic:cNvPicPr/>
                  </pic:nvPicPr>
                  <pic:blipFill>
                    <a:blip r:embed="rId68716a7b65ed539c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Bulgaria, Croatia, Cyprus, Czechia, Finland, France (mainland), Germany, Greece (mainland, Kriti), Hungary, Israel, Italy (mainland, Sicilia), Jordan, Malta, Montenegro, Morocco, Netherlands, Poland, Portugal (mainland, Madeira), Spain (mainland, Islas Canárias), Switzerland,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Comoros, Kenya, Mauritius, Morocco, Reunion, Seychelles, South Africa,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(Chongqing, Fujian, Gansu, Guangdong, Guangxi, Guizhou, Hainan, Hebei, Heilongjiang, Henan, Hubei, Hunan, Jiangsu, Jiangxi, Jilin, Liaoning, Neimenggu, Ningxia, Qinghai, Shaanxi, Shandong, Shanxi, Sichuan, Xinjiang, Xizhang, Yunnan, Zhejiang), India (Manipur, Tamil Nadu, Uttar Pradesh), Indonesia (Java, Sulawesi, Sumatra), Israel, Japan (Hokkaido, Honshu), Jordan, Korea, Democratic People's Republic of, Korea, Republic of, Lebanon, Malaysia (West), Nepal, Philippines, Saudi Arabia, Singapore, Sri Lanka, Syrian Arab Republic, Taiwan, Thailand,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Dominican Republic, El Salvador, Guadeloupe, Guatemala, Honduras, Nicaragua,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(Ceara, Goias, Minas Gerais, Rio Grande do Sul, Sao Paulo), Chile (Easter Island), Colombia, Ecuador, French Guiana,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Guam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biological characteristics which make certain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particularly successful pests are their rapid population growth and their ability to attack a wide range of different host plants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the life history of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are summarized from Lanzoni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Parrella (1987), Spencer (1973), Videla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Weintraub &amp; Horowitz (1995).</w:t>
      </w:r>
    </w:p>
    <w:p>
      <w:pPr>
        <w:widowControl w:val="on"/>
        <w:pBdr/>
        <w:spacing w:before="220" w:after="220" w:line="240" w:lineRule="auto"/>
        <w:ind w:left="0" w:right="0"/>
        <w:jc w:val="both"/>
      </w:pPr>
      <w:r>
        <w:rPr>
          <w:rFonts w:ascii="Calibri" w:hAnsi="Calibri" w:eastAsia="Calibri" w:cs="Calibri"/>
          <w:color w:val="000000"/>
          <w:sz w:val="22"/>
          <w:szCs w:val="22"/>
        </w:rPr>
        <w:t xml:space="preserve">After mating female flies puncture the leaf surface of the host plants with their ovipositor causing wounds which serve as sites for feeding or oviposition. Females can make up to 277 punctures per day but eggs are laid in only 5 to 10% of them. Males can also take advantage of these feeding sites as they are less well equipped for puncturing plant tissue. Females can live for 18 days but males for only up to 6 days. Eggs are inserted in the lower surface of leaves. The duration of the egg stage varies from 1.5 to 5 days depending on the temperature and host plant. Females lay an average of 8 to 14 eggs per day.</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stages which, in total, last 3.6-14 days depending on the temperature and host plant. Larval feeding forms irregular linear mines. Just before pupation, mature larvae cut semi-circular exit slits in the upper surface of the leaves. After a short period, larvae drop to the ground and then burrow just below the surface of the soil or in crop debris before pupating. The pupal stage lasts from 8 to 24 days depending on the temperature and host plant.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Northern Europe,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is mainly a glasshouse pest, but a proportion of puparia can survive outdoors during an average Dutch winter (Van der Linden, 1993). However, in Southern Ontario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seemed unable to overwinter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damage caused by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is due to larval mining in the leaf tissue. As for the feeding and oviposition punctures, larval mining reduces the aesthetic value of ornamentals, decreases the photosynthetic capacity of leaves and can ultimately cause defoliation in severe cases (Spencer 1973). Mines are irregular linear structures in the leaf tissue. They are off-white with trails of dark frass in their margins.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adults cause two main types of damage to their host plants, feeding and oviposition punctures (Minkeberg &amp; van Lenteren 1986;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Adult feeding and oviposition punctures reduce the aesthetic value of ornamental plants and can lead to death of young plants by reducing photosynthetic capacity. Punctures can also be invaded by fungi and bacteria causing additional damage to host plants. Feeding punctures appear as uneven rounded white speckles on the leaf surface whereas oviposition punctures are smaller and more rounded. These symptoms are not used as a diagnostic character as there is no variation between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description of the morphology of immature and adult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is given in Spencer (1973). The main diagnostic characters of the four regulated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can be found in the IPPC diagnostic protocol for the genus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(IPPC, 2017) and the EPPO Standard on diagnostics PM 7/53 (2)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(EPPO, 2022a). The following sections summarize this information.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Oval and white, 0.25 mm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stages that range from 0.5 mm in length for the first instar to 3.25 mm for the last one. Their shape is cylindrical and tapering towards the head. The anterior and posterior spiracles are located on projections and the posterior spiracles are composed of an ellipse of 6 to 9 pores.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larvae are cream-colored except in the last stage where a yellow-orange patch appears dorsally at the anterior end.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Puparium</w:t>
      </w:r>
    </w:p>
    <w:p>
      <w:pPr>
        <w:widowControl w:val="on"/>
        <w:pBdr/>
        <w:spacing w:before="220" w:after="220" w:line="240" w:lineRule="auto"/>
        <w:ind w:left="0" w:right="0"/>
        <w:jc w:val="both"/>
      </w:pPr>
      <w:r>
        <w:rPr>
          <w:rFonts w:ascii="Calibri" w:hAnsi="Calibri" w:eastAsia="Calibri" w:cs="Calibri"/>
          <w:color w:val="000000"/>
          <w:sz w:val="22"/>
          <w:szCs w:val="22"/>
        </w:rPr>
        <w:t xml:space="preserve">Oval cylinder in shape of about 2.0 mm, yellowish- or reddish-brown or almost black. The spiracles are still visible in the pupal stage.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Small 1-3 mm long mostly black flies, with a yellow-orange frons and yellow scutellum. The orbital setulae are reclinate, the costa extends to vein M</w:t>
      </w:r>
      <w:r>
        <w:rPr>
          <w:rFonts w:ascii="Calibri" w:hAnsi="Calibri" w:eastAsia="Calibri" w:cs="Calibri"/>
          <w:color w:val="000000"/>
          <w:position w:val="-4"/>
          <w:sz w:val="22"/>
          <w:szCs w:val="22"/>
          <w:vertAlign w:val="subscript"/>
          <w:vertAlign w:val="subscript"/>
        </w:rPr>
        <w:t xml:space="preserve">1+2</w:t>
      </w:r>
      <w:r>
        <w:rPr>
          <w:rFonts w:ascii="Calibri" w:hAnsi="Calibri" w:eastAsia="Calibri" w:cs="Calibri"/>
          <w:color w:val="000000"/>
          <w:sz w:val="22"/>
          <w:szCs w:val="22"/>
        </w:rPr>
        <w:t xml:space="preserve"> and the femora are predominantly yellow. Male genitalia are characteristic of the genus.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more than 400 species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(GBIF, 2023) and their morphological identification relies on the male genitalia. Adult females can only be used for genus level identification. Likewise, there are no keys available for species level identification of the immature stages.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males can thus be separated from the very similar </w:t>
      </w:r>
      <w:r>
        <w:rPr>
          <w:rFonts w:ascii="Calibri" w:hAnsi="Calibri" w:eastAsia="Calibri" w:cs="Calibri"/>
          <w:i/>
          <w:iCs/>
          <w:color w:val="000000"/>
          <w:sz w:val="22"/>
          <w:szCs w:val="22"/>
        </w:rPr>
        <w:t xml:space="preserve">L. bryoniae, L. trifolii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strigata</w:t>
      </w:r>
      <w:r>
        <w:rPr>
          <w:rFonts w:ascii="Calibri" w:hAnsi="Calibri" w:eastAsia="Calibri" w:cs="Calibri"/>
          <w:color w:val="000000"/>
          <w:sz w:val="22"/>
          <w:szCs w:val="22"/>
        </w:rPr>
        <w:t xml:space="preserve"> by the structure of their distiphallus (terminal part of the intromittent organ) which has a pair of distal bulbs with spiraled rims. The bulbs meet in the midline only at their rims.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is morphologically indistinguishable from </w:t>
      </w:r>
      <w:r>
        <w:rPr>
          <w:rFonts w:ascii="Calibri" w:hAnsi="Calibri" w:eastAsia="Calibri" w:cs="Calibri"/>
          <w:i/>
          <w:iCs/>
          <w:color w:val="000000"/>
          <w:sz w:val="22"/>
          <w:szCs w:val="22"/>
        </w:rPr>
        <w:t xml:space="preserve">L. langei</w:t>
      </w:r>
      <w:r>
        <w:rPr>
          <w:rFonts w:ascii="Calibri" w:hAnsi="Calibri" w:eastAsia="Calibri" w:cs="Calibri"/>
          <w:color w:val="000000"/>
          <w:sz w:val="22"/>
          <w:szCs w:val="22"/>
        </w:rPr>
        <w:t xml:space="preserve"> (EPPO, 2022a; IPPC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 mines caused by larval feeding can also be useful for detection but this character should be used in combination with other characters as mine pattern is influenced by environmental factors (EPPO, 2022a). Other flies as well as some Lepidoptera are known to have leaf-mining larvae and can potentially be confused with Agromyzidae. Nonetheless, the characteristic feeding punctures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allows diagnosticians to differentiate them from other leafminers.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male adults for morphological identification, the following molecular tests can be used for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species identification: PCR RFLP targeting the COII gene (Kox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conventional multiplex PCR targeting the COI gene (Nakamura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 on-site LAMP test, multiplex real-time PCR (Sooda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DNA barcoding based on the COI gene (EPPO, 2021). These molecular techniques are summarized in the EPPO and the IPPC diagnostic protocols for regulated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Recently, molecular identification based on next generation sequencing techniques are also being developed (Frey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capable of limited flight and can be dispersed by wind currents (see Malipatil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references), but are unlikely to spread over long distances. The high degree of polyphagy of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as well as the concealed lifestyle of its larvae make its dissemination through the movement of plant material the most likely mean of colonizing new countries (EFSA, 2012; Parrela, 1987,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is regularly intercepted in trade, in particular on leafy vegetables and cut flowers (Europhyt,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are highly polyphagous and invasive and cause severe damage to vegetable crops and ornamentals through adult feeding, oviposition and larval mining.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originates from Central and South America and has spread to Europe, Asia, Africa, North America and Oceania (CABI, 2021). It is a key pest of potato especially in South America and can cause yield losses of 50% to 100% depending on the year, country and infestation level (Kwon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Mujica &amp; Kroschel, 2013; Rauf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Shepard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In Northern Europe,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is primarily a glasshouse pest but since it has spread to Mediterranean countries, it has appeared on outdoor crops such as lettuce and beet (Echevarria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In Israel, it was found to be a much more serious pest than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(Weintraub &amp; Horowitz,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control strategy for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is the extensive use of chemical control methods. However,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are known to readily develop insecticide resistance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unlike their local parasitoids, and thus causing serious leafminer outbreaks. Some insecticides are effective against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(Schuster &amp; Everett, 1983). These are translaminar and target the larvae inside the leafmines. Biological control methods are increasingly being used in horticultural industries and commercial vegetable production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There are more than 140 described species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parasitoids and these are the primary agents used in biological control strategies. In open fields, integrated pest management strategies promoting local parasitoid diversity are commonly used to control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In the more controlled greenhouse environments, commercially available parasitoids, such as species in the genus </w:t>
      </w:r>
      <w:r>
        <w:rPr>
          <w:rFonts w:ascii="Calibri" w:hAnsi="Calibri" w:eastAsia="Calibri" w:cs="Calibri"/>
          <w:i/>
          <w:iCs/>
          <w:color w:val="000000"/>
          <w:sz w:val="22"/>
          <w:szCs w:val="22"/>
        </w:rPr>
        <w:t xml:space="preserve">Diglyphus</w:t>
      </w:r>
      <w:r>
        <w:rPr>
          <w:rFonts w:ascii="Calibri" w:hAnsi="Calibri" w:eastAsia="Calibri" w:cs="Calibri"/>
          <w:color w:val="000000"/>
          <w:sz w:val="22"/>
          <w:szCs w:val="22"/>
        </w:rPr>
        <w:t xml:space="preserve">, are also reported to successfully regulate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infestations. Predators and entomopathogenic nematodes and fungi are also known but there are a limited number of species and they are not considered as efficient control agents.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is a highly polyphagous species present in Europe essentially in the Mediterranean region. The main dispersal mechanism is through the trade related movement of plant material hosting the immature stages of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(EFSA, 2012). The latter are cryptic and can easily go undetected in plants for planting, soil, fruit and vegetables, cut flowers and branches with foliage.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host plants for planting from countries where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is present are inspected over three months at regular intervals before export can take place, to verify the absence the pest itself or any signs of its presence. General guidance on how to conduct inspections of places producing vegetable plants for planting under protected conditions can be found in the EPPO Standard PM 3/77 (EPPO, 2022b). In the European Union, specific measures are taken to protect areas that are still free from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(Protected Zones), which means that plant material should respect a list of established rules (Commission implementing regulation (EU) 2021/2285) before being cleared for import into the Protected Zones.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ADAS (1991) </w:t>
      </w:r>
      <w:r>
        <w:rPr>
          <w:rFonts w:ascii="Calibri" w:hAnsi="Calibri" w:eastAsia="Calibri" w:cs="Calibri"/>
          <w:i/>
          <w:iCs/>
          <w:color w:val="000000"/>
          <w:sz w:val="22"/>
          <w:szCs w:val="22"/>
        </w:rPr>
        <w:t xml:space="preserve">Protected crops technical notes</w:t>
      </w:r>
      <w:r>
        <w:rPr>
          <w:rFonts w:ascii="Calibri" w:hAnsi="Calibri" w:eastAsia="Calibri" w:cs="Calibri"/>
          <w:color w:val="000000"/>
          <w:sz w:val="22"/>
          <w:szCs w:val="22"/>
        </w:rPr>
        <w:t xml:space="preserve"> No. 144. Agricultural Development and Advisory Service, Ministry of Agriculture, Fisheries and Food, UK.</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w:t>
      </w:r>
      <w:hyperlink r:id="rId13026a7b65ed549d2" w:history="1">
        <w:r>
          <w:rPr>
            <w:rFonts w:ascii="Calibri" w:hAnsi="Calibri" w:eastAsia="Calibri" w:cs="Calibri"/>
            <w:color w:val="0000CC"/>
            <w:sz w:val="22"/>
            <w:szCs w:val="22"/>
            <w:u w:val="single"/>
          </w:rPr>
          <w:t xml:space="preserve">https://www.cabidigitallibrary.org/doi/full/10.1079/cabicompendium.30956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Echevarria A, Gimeno C &amp; Jiménez R (1994)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a new pest of crops in Valencia. </w:t>
      </w:r>
      <w:r>
        <w:rPr>
          <w:rFonts w:ascii="Calibri" w:hAnsi="Calibri" w:eastAsia="Calibri" w:cs="Calibri"/>
          <w:i/>
          <w:iCs/>
          <w:color w:val="000000"/>
          <w:sz w:val="22"/>
          <w:szCs w:val="22"/>
        </w:rPr>
        <w:t xml:space="preserve">Boletin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103-109.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(2012) EFSA Panel on Plant Health: Baker R, Bragard C, Candresse T, Gilioli G, Grégoire J-C, Holb I, Jeger MJ, Evtimova Karadjova O, Magnusson C, Makowski D, Manceau C, Navajas M, Rafoss T, Rossi V, Schans J, Schrader G, Urek G, van Lenteren JC, Vloutoglou I, Winter S &amp; van der Werf W. cientific Opinion on the risks to plant health posed by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(Blanchard) and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(Burgess) in the EU territory, with the identification and evaluation of risk reduction options.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(12), 3028. </w:t>
      </w:r>
      <w:hyperlink r:id="rId68266a7b65ed54b01" w:history="1">
        <w:r>
          <w:rPr>
            <w:rFonts w:ascii="Calibri" w:hAnsi="Calibri" w:eastAsia="Calibri" w:cs="Calibri"/>
            <w:color w:val="0000CC"/>
            <w:sz w:val="22"/>
            <w:szCs w:val="22"/>
            <w:u w:val="single"/>
          </w:rPr>
          <w:t xml:space="preserve">https://doi.org/10.2903/j.efsa.2012.3028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PM 7/129 (2) DNA barcoding as an identification tool for a number of regulated pests: DNA barcoding Arthropods.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100–143.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(2022a) EPPO Standards. PM 7/53 (2)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326-345.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(2022b) EPPO Standards. Phytosanitary Procedures. PM 3/77 (2)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526-543.</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(2023) Interceptions of harmful organisms in imported plants and other objects. European Commission. </w:t>
      </w:r>
      <w:hyperlink r:id="rId38026a7b65ed54c6d" w:history="1">
        <w:r>
          <w:rPr>
            <w:rFonts w:ascii="Calibri" w:hAnsi="Calibri" w:eastAsia="Calibri" w:cs="Calibri"/>
            <w:color w:val="0000CC"/>
            <w:sz w:val="22"/>
            <w:szCs w:val="22"/>
            <w:u w:val="single"/>
          </w:rPr>
          <w:t xml:space="preserve">https://food.ec.europa.eu/plants/plant-health-and-biosecurity/europhyt/interceptions_en</w:t>
        </w:r>
      </w:hyperlink>
      <w:r>
        <w:rPr>
          <w:rFonts w:ascii="Calibri" w:hAnsi="Calibri" w:eastAsia="Calibri" w:cs="Calibri"/>
          <w:color w:val="000000"/>
          <w:sz w:val="22"/>
          <w:szCs w:val="22"/>
        </w:rPr>
        <w:t xml:space="preserve"> [last accessed 2023-10].</w:t>
      </w:r>
    </w:p>
    <w:p>
      <w:pPr>
        <w:widowControl w:val="on"/>
        <w:pBdr/>
        <w:spacing w:before="220" w:after="220" w:line="240" w:lineRule="auto"/>
        <w:ind w:left="0" w:right="0"/>
        <w:jc w:val="left"/>
      </w:pPr>
      <w:r>
        <w:rPr>
          <w:rFonts w:ascii="Calibri" w:hAnsi="Calibri" w:eastAsia="Calibri" w:cs="Calibri"/>
          <w:color w:val="000000"/>
          <w:sz w:val="22"/>
          <w:szCs w:val="22"/>
        </w:rPr>
        <w:t xml:space="preserve">Frey JE, Frey B, Frei D, Blaser S, Gueuning M &amp; Bühlmann A (2022) Next generation biosecurity: Towards genome based identification to prevent spread of agronomic pests and pathogens using nanopore sequencing.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(7), e0270897. </w:t>
      </w:r>
      <w:hyperlink r:id="rId43626a7b65ed54cee" w:history="1">
        <w:r>
          <w:rPr>
            <w:rFonts w:ascii="Calibri" w:hAnsi="Calibri" w:eastAsia="Calibri" w:cs="Calibri"/>
            <w:color w:val="0000CC"/>
            <w:sz w:val="22"/>
            <w:szCs w:val="22"/>
            <w:u w:val="single"/>
          </w:rPr>
          <w:t xml:space="preserve">https://doi.org/10.1371/journal.pone.0270897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GBIF.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Mik, 1894 in GBIF Secretariat. GBIF Backbone Taxonomy. Checklist dataset </w:t>
      </w:r>
      <w:hyperlink r:id="rId37006a7b65ed54d40" w:history="1">
        <w:r>
          <w:rPr>
            <w:rFonts w:ascii="Calibri" w:hAnsi="Calibri" w:eastAsia="Calibri" w:cs="Calibri"/>
            <w:color w:val="0000CC"/>
            <w:sz w:val="22"/>
            <w:szCs w:val="22"/>
            <w:u w:val="single"/>
          </w:rPr>
          <w:t xml:space="preserve">https://doi.org/10.15468/39omei</w:t>
        </w:r>
      </w:hyperlink>
      <w:r>
        <w:rPr>
          <w:rFonts w:ascii="Calibri" w:hAnsi="Calibri" w:eastAsia="Calibri" w:cs="Calibri"/>
          <w:color w:val="000000"/>
          <w:sz w:val="22"/>
          <w:szCs w:val="22"/>
        </w:rPr>
        <w:t xml:space="preserve"> [accessed via GBIF.org on 2023-10-01].</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(2017) DP 16: Genus </w:t>
      </w:r>
      <w:r>
        <w:rPr>
          <w:rFonts w:ascii="Calibri" w:hAnsi="Calibri" w:eastAsia="Calibri" w:cs="Calibri"/>
          <w:i/>
          <w:iCs/>
          <w:color w:val="000000"/>
          <w:sz w:val="22"/>
          <w:szCs w:val="22"/>
        </w:rPr>
        <w:t xml:space="preserve">Liriomyza. International Standard for Phytosanitary measures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annex 16. </w:t>
      </w:r>
      <w:hyperlink r:id="rId16656a7b65ed54db1" w:history="1">
        <w:r>
          <w:rPr>
            <w:rFonts w:ascii="Calibri" w:hAnsi="Calibri" w:eastAsia="Calibri" w:cs="Calibri"/>
            <w:color w:val="0000CC"/>
            <w:sz w:val="22"/>
            <w:szCs w:val="22"/>
            <w:u w:val="single"/>
          </w:rPr>
          <w:t xml:space="preserve">https://www.ippc.int/static/media/files/publication/en/2017/01/DP_16_2016_En_2017-01-30.pdf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Kox LFF, Van Den Beld H E, Lindhout BI &amp; De Goffau LJW (2005) Identification of economically important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by PCR‐RFLP analysis.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(1), 79-85.</w:t>
      </w:r>
    </w:p>
    <w:p>
      <w:pPr>
        <w:widowControl w:val="on"/>
        <w:pBdr/>
        <w:spacing w:before="220" w:after="220" w:line="240" w:lineRule="auto"/>
        <w:ind w:left="0" w:right="0"/>
        <w:jc w:val="left"/>
      </w:pPr>
      <w:r>
        <w:rPr>
          <w:rFonts w:ascii="Calibri" w:hAnsi="Calibri" w:eastAsia="Calibri" w:cs="Calibri"/>
          <w:color w:val="000000"/>
          <w:sz w:val="22"/>
          <w:szCs w:val="22"/>
        </w:rPr>
        <w:t xml:space="preserve">Kwon M, Kim J &amp; Maharjan R (2018) Effect of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(Diptera: Agromyzidae) density on foliar leaf damage and yield loss in potato.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411-418.</w:t>
      </w:r>
    </w:p>
    <w:p>
      <w:pPr>
        <w:widowControl w:val="on"/>
        <w:pBdr/>
        <w:spacing w:before="220" w:after="220" w:line="240" w:lineRule="auto"/>
        <w:ind w:left="0" w:right="0"/>
        <w:jc w:val="left"/>
      </w:pPr>
      <w:r>
        <w:rPr>
          <w:rFonts w:ascii="Calibri" w:hAnsi="Calibri" w:eastAsia="Calibri" w:cs="Calibri"/>
          <w:color w:val="000000"/>
          <w:sz w:val="22"/>
          <w:szCs w:val="22"/>
        </w:rPr>
        <w:t xml:space="preserve">Lanzoni A, Bazzocchi GG, Burgio G &amp; Fiacconi MR (2002) Comparative life history </w:t>
      </w:r>
      <w:r>
        <w:rPr>
          <w:rFonts w:ascii="Calibri" w:hAnsi="Calibri" w:eastAsia="Calibri" w:cs="Calibri"/>
          <w:i/>
          <w:iCs/>
          <w:color w:val="000000"/>
          <w:sz w:val="22"/>
          <w:szCs w:val="22"/>
        </w:rPr>
        <w:t xml:space="preserve">of Liriomyza trifolii and Liriomyza huidobrensis</w:t>
      </w:r>
      <w:r>
        <w:rPr>
          <w:rFonts w:ascii="Calibri" w:hAnsi="Calibri" w:eastAsia="Calibri" w:cs="Calibri"/>
          <w:color w:val="000000"/>
          <w:sz w:val="22"/>
          <w:szCs w:val="22"/>
        </w:rPr>
        <w:t xml:space="preserve"> (Diptera: Agromyzidae) on beans: effect of temperature on development.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(5), 797-803.</w:t>
      </w:r>
    </w:p>
    <w:p>
      <w:pPr>
        <w:widowControl w:val="on"/>
        <w:pBdr/>
        <w:spacing w:before="220" w:after="220" w:line="240" w:lineRule="auto"/>
        <w:ind w:left="0" w:right="0"/>
        <w:jc w:val="left"/>
      </w:pPr>
      <w:r>
        <w:rPr>
          <w:rFonts w:ascii="Calibri" w:hAnsi="Calibri" w:eastAsia="Calibri" w:cs="Calibri"/>
          <w:color w:val="000000"/>
          <w:sz w:val="22"/>
          <w:szCs w:val="22"/>
        </w:rPr>
        <w:t xml:space="preserve">Liu T-X, Kang Le, Heinz KM &amp; Trumble J (2009) Biological control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leafminers: progress and perspective. </w:t>
      </w:r>
      <w:r>
        <w:rPr>
          <w:rFonts w:ascii="Calibri" w:hAnsi="Calibri" w:eastAsia="Calibri" w:cs="Calibri"/>
          <w:i/>
          <w:iCs/>
          <w:color w:val="000000"/>
          <w:sz w:val="22"/>
          <w:szCs w:val="22"/>
        </w:rPr>
        <w:t xml:space="preserve">CAB Reviews: Perspectives in Agriculture, Veterinary Science, Nutrition and Natural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004</w:t>
      </w:r>
    </w:p>
    <w:p>
      <w:pPr>
        <w:widowControl w:val="on"/>
        <w:pBdr/>
        <w:spacing w:before="220" w:after="220" w:line="240" w:lineRule="auto"/>
        <w:ind w:left="0" w:right="0"/>
        <w:jc w:val="left"/>
      </w:pPr>
      <w:r>
        <w:rPr>
          <w:rFonts w:ascii="Calibri" w:hAnsi="Calibri" w:eastAsia="Calibri" w:cs="Calibri"/>
          <w:color w:val="000000"/>
          <w:sz w:val="22"/>
          <w:szCs w:val="22"/>
        </w:rPr>
        <w:t xml:space="preserve">Malipatil M, Blacket M, Wainer J, Ridland P &amp; Reviewer Jones DC (Subcommittee on Plant Health Diagnostics) (2016) National Diagnostic Protocol for </w:t>
      </w:r>
      <w:r>
        <w:rPr>
          <w:rFonts w:ascii="Calibri" w:hAnsi="Calibri" w:eastAsia="Calibri" w:cs="Calibri"/>
          <w:i/>
          <w:iCs/>
          <w:color w:val="000000"/>
          <w:sz w:val="22"/>
          <w:szCs w:val="22"/>
        </w:rPr>
        <w:t xml:space="preserve">Liriomyza trifolii </w:t>
      </w:r>
      <w:r>
        <w:rPr>
          <w:rFonts w:ascii="Calibri" w:hAnsi="Calibri" w:eastAsia="Calibri" w:cs="Calibri"/>
          <w:color w:val="000000"/>
          <w:sz w:val="22"/>
          <w:szCs w:val="22"/>
        </w:rPr>
        <w:t xml:space="preserve">– NDP27 V1. </w:t>
      </w:r>
      <w:hyperlink r:id="rId98566a7b65ed5501b" w:history="1">
        <w:r>
          <w:rPr>
            <w:rFonts w:ascii="Calibri" w:hAnsi="Calibri" w:eastAsia="Calibri" w:cs="Calibri"/>
            <w:color w:val="0000CC"/>
            <w:sz w:val="22"/>
            <w:szCs w:val="22"/>
            <w:u w:val="single"/>
          </w:rPr>
          <w:t xml:space="preserve">https://www.plantbiosecuritydiagnostics.net.au/app/uploads/2018/11/NDP-27-American-serpentine-leaf-miner-Liriomyza-trifolii-V1.pdf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Martin AD, Hallett RH, Sears MK &amp; McDonald MR (2005) Overwintering ability of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(Blanchard) (Diptera: Agromyzidae) in Southern Ontario, Canada.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(4), 743-747.</w:t>
      </w:r>
    </w:p>
    <w:p>
      <w:pPr>
        <w:widowControl w:val="on"/>
        <w:pBdr/>
        <w:spacing w:before="220" w:after="220" w:line="240" w:lineRule="auto"/>
        <w:ind w:left="0" w:right="0"/>
        <w:jc w:val="left"/>
      </w:pPr>
      <w:r>
        <w:rPr>
          <w:rFonts w:ascii="Calibri" w:hAnsi="Calibri" w:eastAsia="Calibri" w:cs="Calibri"/>
          <w:color w:val="000000"/>
          <w:sz w:val="22"/>
          <w:szCs w:val="22"/>
        </w:rPr>
        <w:t xml:space="preserve">Minkenberg OPJM &amp; van Lenteren JC (1986) The leafminers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(Diptera: Agromyzidae), their parasites and host plants: a review. </w:t>
      </w:r>
      <w:r>
        <w:rPr>
          <w:rFonts w:ascii="Calibri" w:hAnsi="Calibri" w:eastAsia="Calibri" w:cs="Calibri"/>
          <w:i/>
          <w:iCs/>
          <w:color w:val="000000"/>
          <w:sz w:val="22"/>
          <w:szCs w:val="22"/>
        </w:rPr>
        <w:t xml:space="preserve">Agricultural University Wageningen Papers</w:t>
      </w:r>
      <w:r>
        <w:rPr>
          <w:rFonts w:ascii="Calibri" w:hAnsi="Calibri" w:eastAsia="Calibri" w:cs="Calibri"/>
          <w:color w:val="000000"/>
          <w:sz w:val="22"/>
          <w:szCs w:val="22"/>
        </w:rPr>
        <w:t xml:space="preserve"> No. 86-2, 50 pp.</w:t>
      </w:r>
    </w:p>
    <w:p>
      <w:pPr>
        <w:widowControl w:val="on"/>
        <w:pBdr/>
        <w:spacing w:before="220" w:after="220" w:line="240" w:lineRule="auto"/>
        <w:ind w:left="0" w:right="0"/>
        <w:jc w:val="left"/>
      </w:pPr>
      <w:r>
        <w:rPr>
          <w:rFonts w:ascii="Calibri" w:hAnsi="Calibri" w:eastAsia="Calibri" w:cs="Calibri"/>
          <w:color w:val="000000"/>
          <w:sz w:val="22"/>
          <w:szCs w:val="22"/>
        </w:rPr>
        <w:t xml:space="preserve">Mujica N &amp; Kroschel J (2013) Pest intensity-crop loss relationships for the leafminer fly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(Blanchard) in different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L.) varieties.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6-16.</w:t>
      </w:r>
    </w:p>
    <w:p>
      <w:pPr>
        <w:widowControl w:val="on"/>
        <w:pBdr/>
        <w:spacing w:before="220" w:after="220" w:line="240" w:lineRule="auto"/>
        <w:ind w:left="0" w:right="0"/>
        <w:jc w:val="left"/>
      </w:pPr>
      <w:r>
        <w:rPr>
          <w:rFonts w:ascii="Calibri" w:hAnsi="Calibri" w:eastAsia="Calibri" w:cs="Calibri"/>
          <w:color w:val="000000"/>
          <w:sz w:val="22"/>
          <w:szCs w:val="22"/>
        </w:rPr>
        <w:t xml:space="preserve">Nakamura S, Masuda T, Mochizuki A, Konishi K, Tokumaru S, Ueno K &amp; Yamaguchi T (2013) Primer design for identifying economically important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(Diptera: Agromyzidae) by multiplex PCR. </w:t>
      </w:r>
      <w:r>
        <w:rPr>
          <w:rFonts w:ascii="Calibri" w:hAnsi="Calibri" w:eastAsia="Calibri" w:cs="Calibri"/>
          <w:i/>
          <w:iCs/>
          <w:color w:val="000000"/>
          <w:sz w:val="22"/>
          <w:szCs w:val="22"/>
        </w:rPr>
        <w:t xml:space="preserve">Molecular Ecology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96–102.</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MP (1987) Biology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(1), 201-224.</w:t>
      </w:r>
    </w:p>
    <w:p>
      <w:pPr>
        <w:widowControl w:val="on"/>
        <w:pBdr/>
        <w:spacing w:before="220" w:after="220" w:line="240" w:lineRule="auto"/>
        <w:ind w:left="0" w:right="0"/>
        <w:jc w:val="left"/>
      </w:pPr>
      <w:r>
        <w:rPr>
          <w:rFonts w:ascii="Calibri" w:hAnsi="Calibri" w:eastAsia="Calibri" w:cs="Calibri"/>
          <w:color w:val="000000"/>
          <w:sz w:val="22"/>
          <w:szCs w:val="22"/>
        </w:rPr>
        <w:t xml:space="preserve">Rauf A, Shepard BM &amp; Johnson MW (2000) Leafminers in vegetables, ornamental plants and weeds in Indonesia: surveys of host crops, species composition and parasitoids.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(4), 257-266.</w:t>
      </w:r>
    </w:p>
    <w:p>
      <w:pPr>
        <w:widowControl w:val="on"/>
        <w:pBdr/>
        <w:spacing w:before="220" w:after="220" w:line="240" w:lineRule="auto"/>
        <w:ind w:left="0" w:right="0"/>
        <w:jc w:val="left"/>
      </w:pPr>
      <w:r>
        <w:rPr>
          <w:rFonts w:ascii="Calibri" w:hAnsi="Calibri" w:eastAsia="Calibri" w:cs="Calibri"/>
          <w:color w:val="000000"/>
          <w:sz w:val="22"/>
          <w:szCs w:val="22"/>
        </w:rPr>
        <w:t xml:space="preserve">Reitz SR, Gao Y &amp; Lei Z (2013) Insecticide use and the ecology of invasive Liriomyza leafminer management. Insecticides-development of safer and more effective technologies. </w:t>
      </w:r>
      <w:r>
        <w:rPr>
          <w:rFonts w:ascii="Calibri" w:hAnsi="Calibri" w:eastAsia="Calibri" w:cs="Calibri"/>
          <w:color w:val="000000"/>
          <w:sz w:val="22"/>
          <w:szCs w:val="22"/>
        </w:rPr>
        <w:t xml:space="preserve">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Insecticides. Development of safer and more effective technologies</w:t>
      </w:r>
      <w:r>
        <w:rPr>
          <w:rFonts w:ascii="Calibri" w:hAnsi="Calibri" w:eastAsia="Calibri" w:cs="Calibri"/>
          <w:color w:val="000000"/>
          <w:sz w:val="22"/>
          <w:szCs w:val="22"/>
        </w:rPr>
        <w:t xml:space="preserve"> (ed. Trdan S) IntechOpen, 235-255. </w:t>
      </w:r>
      <w:hyperlink r:id="rId72006a7b65ed5537d" w:history="1">
        <w:r>
          <w:rPr>
            <w:rFonts w:ascii="Calibri" w:hAnsi="Calibri" w:eastAsia="Calibri" w:cs="Calibri"/>
            <w:color w:val="0000CC"/>
            <w:sz w:val="22"/>
            <w:szCs w:val="22"/>
            <w:u w:val="single"/>
          </w:rPr>
          <w:t xml:space="preserve">http://dx.doi.org/10.5772/53874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Scheffer SJ (2000) Molecular evidence of cryptic species within the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(4), 1146–1151.</w:t>
      </w:r>
    </w:p>
    <w:p>
      <w:pPr>
        <w:widowControl w:val="on"/>
        <w:pBdr/>
        <w:spacing w:before="220" w:after="220" w:line="240" w:lineRule="auto"/>
        <w:ind w:left="0" w:right="0"/>
        <w:jc w:val="left"/>
      </w:pPr>
      <w:r>
        <w:rPr>
          <w:rFonts w:ascii="Calibri" w:hAnsi="Calibri" w:eastAsia="Calibri" w:cs="Calibri"/>
          <w:color w:val="000000"/>
          <w:sz w:val="22"/>
          <w:szCs w:val="22"/>
        </w:rPr>
        <w:t xml:space="preserve">Scheffer SJ &amp; Lewis ML (2001) Two nuclear genes confirm mitochondrial evidence of cryptic species within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(5), 648–653.</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DJ &amp; Everett PH (1983) Response of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(Diptera:Agromyzidae) to insecticides on tomato.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1170-1174.</w:t>
      </w:r>
    </w:p>
    <w:p>
      <w:pPr>
        <w:widowControl w:val="on"/>
        <w:pBdr/>
        <w:spacing w:before="220" w:after="220" w:line="240" w:lineRule="auto"/>
        <w:ind w:left="0" w:right="0"/>
        <w:jc w:val="left"/>
      </w:pPr>
      <w:r>
        <w:rPr>
          <w:rFonts w:ascii="Calibri" w:hAnsi="Calibri" w:eastAsia="Calibri" w:cs="Calibri"/>
          <w:color w:val="000000"/>
          <w:sz w:val="22"/>
          <w:szCs w:val="22"/>
        </w:rPr>
        <w:t xml:space="preserve">Shepard B, Samsudin M &amp; Braun AR (1998) Seasonal incidence of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(Diptera: Agromyzidae) and its parasitoids on vegetables in Indonesia.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43e47.</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(1973) </w:t>
      </w:r>
      <w:r>
        <w:rPr>
          <w:rFonts w:ascii="Calibri" w:hAnsi="Calibri" w:eastAsia="Calibri" w:cs="Calibri"/>
          <w:i/>
          <w:iCs/>
          <w:color w:val="000000"/>
          <w:sz w:val="22"/>
          <w:szCs w:val="22"/>
        </w:rPr>
        <w:t xml:space="preserve">Agromyzidae (Diptera) of Economic Importance. </w:t>
      </w:r>
      <w:r>
        <w:rPr>
          <w:rFonts w:ascii="Calibri" w:hAnsi="Calibri" w:eastAsia="Calibri" w:cs="Calibri"/>
          <w:color w:val="000000"/>
          <w:sz w:val="22"/>
          <w:szCs w:val="22"/>
        </w:rPr>
        <w:t xml:space="preserve">Series Entomologica 9, 418 pp. Junk, The Hague,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Sooda A, Gunawardana D, Li D &amp; Kumarasinghe L (2017) Multiplex real‐time PCR assay for the detection of three invasive leafminer species: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(2), 153-159.</w:t>
      </w:r>
    </w:p>
    <w:p>
      <w:pPr>
        <w:widowControl w:val="on"/>
        <w:pBdr/>
        <w:spacing w:before="220" w:after="220" w:line="240" w:lineRule="auto"/>
        <w:ind w:left="0" w:right="0"/>
        <w:jc w:val="left"/>
      </w:pPr>
      <w:r>
        <w:rPr>
          <w:rFonts w:ascii="Calibri" w:hAnsi="Calibri" w:eastAsia="Calibri" w:cs="Calibri"/>
          <w:color w:val="000000"/>
          <w:sz w:val="22"/>
          <w:szCs w:val="22"/>
        </w:rPr>
        <w:t xml:space="preserve">Takano SI, Iwaizumi R, Nakanishi Y &amp; Someya H (2008) Laboratory hybridization between the two clades of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(3), 397-402.</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Linden A (1993) Overwintering of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in the Netherlands. </w:t>
      </w:r>
      <w:r>
        <w:rPr>
          <w:rFonts w:ascii="Calibri" w:hAnsi="Calibri" w:eastAsia="Calibri" w:cs="Calibri"/>
          <w:i/>
          <w:iCs/>
          <w:color w:val="000000"/>
          <w:sz w:val="22"/>
          <w:szCs w:val="22"/>
        </w:rPr>
        <w:t xml:space="preserve">Proceedings of the Section Experimental and Applied Entomology of the Netherlands Entomological Society</w:t>
      </w:r>
      <w:r>
        <w:rPr>
          <w:rFonts w:ascii="Calibri" w:hAnsi="Calibri" w:eastAsia="Calibri" w:cs="Calibri"/>
          <w:color w:val="000000"/>
          <w:sz w:val="22"/>
          <w:szCs w:val="22"/>
        </w:rPr>
        <w:t xml:space="preserve"> No. 4, 145-150.</w:t>
      </w:r>
    </w:p>
    <w:p>
      <w:pPr>
        <w:widowControl w:val="on"/>
        <w:pBdr/>
        <w:spacing w:before="220" w:after="220" w:line="240" w:lineRule="auto"/>
        <w:ind w:left="0" w:right="0"/>
        <w:jc w:val="left"/>
      </w:pPr>
      <w:r>
        <w:rPr>
          <w:rFonts w:ascii="Calibri" w:hAnsi="Calibri" w:eastAsia="Calibri" w:cs="Calibri"/>
          <w:color w:val="000000"/>
          <w:sz w:val="22"/>
          <w:szCs w:val="22"/>
        </w:rPr>
        <w:t xml:space="preserve">Videla M, Valladares G &amp; Salvo A (2006) A tritrophic analysis of host preference and performance in a polyphagous leafminer.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(2), 105-114.</w:t>
      </w:r>
    </w:p>
    <w:p>
      <w:pPr>
        <w:widowControl w:val="on"/>
        <w:pBdr/>
        <w:spacing w:before="220" w:after="220" w:line="240" w:lineRule="auto"/>
        <w:ind w:left="0" w:right="0"/>
        <w:jc w:val="left"/>
      </w:pPr>
      <w:r>
        <w:rPr>
          <w:rFonts w:ascii="Calibri" w:hAnsi="Calibri" w:eastAsia="Calibri" w:cs="Calibri"/>
          <w:color w:val="000000"/>
          <w:sz w:val="22"/>
          <w:szCs w:val="22"/>
        </w:rPr>
        <w:t xml:space="preserve">Weintraub PG &amp; Horowitz AR (1995) The newest leafminer pest in Israel,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177-184.</w:t>
      </w:r>
    </w:p>
    <w:p>
      <w:pPr>
        <w:widowControl w:val="on"/>
        <w:pBdr/>
        <w:spacing w:before="220" w:after="220" w:line="240" w:lineRule="auto"/>
        <w:ind w:left="0" w:right="0"/>
        <w:jc w:val="left"/>
      </w:pPr>
      <w:r>
        <w:rPr>
          <w:rFonts w:ascii="Calibri" w:hAnsi="Calibri" w:eastAsia="Calibri" w:cs="Calibri"/>
          <w:color w:val="000000"/>
          <w:sz w:val="22"/>
          <w:szCs w:val="22"/>
        </w:rPr>
        <w:t xml:space="preserve">Weintraub PG, Scheffer SJ, Visser D, Valladares G, Soares Correa A, Shepard BM, Rauf A, Murphy ST, Mujica N, MacVean C &amp; Kroschel J (2017) The invasive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(Diptera: Agromyzidae): understanding its pest status and management globally.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17(1), 1-27. </w:t>
      </w:r>
      <w:hyperlink r:id="rId62776a7b65ed558a9" w:history="1">
        <w:r>
          <w:rPr>
            <w:rFonts w:ascii="Calibri" w:hAnsi="Calibri" w:eastAsia="Calibri" w:cs="Calibri"/>
            <w:color w:val="0000CC"/>
            <w:sz w:val="22"/>
            <w:szCs w:val="22"/>
            <w:u w:val="single"/>
          </w:rPr>
          <w:t xml:space="preserve">https://doi.org/10.1093/jisesa/iew121</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2024 by Sarah Chérasse, ANSES.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Liriomyza huidobrensis</w:t>
      </w:r>
      <w:r>
        <w:rPr>
          <w:rFonts w:ascii="Calibri" w:hAnsi="Calibri" w:eastAsia="Calibri" w:cs="Calibri"/>
          <w:color w:val="000000"/>
          <w:sz w:val="22"/>
          <w:szCs w:val="22"/>
        </w:rPr>
        <w:t xml:space="preserve">. EPPO datasheets on pests recommended for regulation. Available online. </w:t>
      </w:r>
      <w:hyperlink r:id="rId50626a7b65ed5595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first edition of 'Quarantine Pests for Europe' in 1992 and revised in its second edition in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r>
        <w:drawing>
          <wp:inline distT="0" distB="0" distL="0" distR="0">
            <wp:extent cx="1800000" cy="604800"/>
            <wp:docPr id="78027446" name="name85296a7b65ed55a6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1186a7b65ed55a6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299240">
    <w:multiLevelType w:val="hybridMultilevel"/>
    <w:lvl w:ilvl="0" w:tplc="30153630">
      <w:start w:val="1"/>
      <w:numFmt w:val="decimal"/>
      <w:lvlText w:val="%1."/>
      <w:lvlJc w:val="left"/>
      <w:pPr>
        <w:ind w:left="720" w:hanging="360"/>
      </w:pPr>
    </w:lvl>
    <w:lvl w:ilvl="1" w:tplc="30153630" w:tentative="1">
      <w:start w:val="1"/>
      <w:numFmt w:val="lowerLetter"/>
      <w:lvlText w:val="%2."/>
      <w:lvlJc w:val="left"/>
      <w:pPr>
        <w:ind w:left="1440" w:hanging="360"/>
      </w:pPr>
    </w:lvl>
    <w:lvl w:ilvl="2" w:tplc="30153630" w:tentative="1">
      <w:start w:val="1"/>
      <w:numFmt w:val="lowerRoman"/>
      <w:lvlText w:val="%3."/>
      <w:lvlJc w:val="right"/>
      <w:pPr>
        <w:ind w:left="2160" w:hanging="180"/>
      </w:pPr>
    </w:lvl>
    <w:lvl w:ilvl="3" w:tplc="30153630" w:tentative="1">
      <w:start w:val="1"/>
      <w:numFmt w:val="decimal"/>
      <w:lvlText w:val="%4."/>
      <w:lvlJc w:val="left"/>
      <w:pPr>
        <w:ind w:left="2880" w:hanging="360"/>
      </w:pPr>
    </w:lvl>
    <w:lvl w:ilvl="4" w:tplc="30153630" w:tentative="1">
      <w:start w:val="1"/>
      <w:numFmt w:val="lowerLetter"/>
      <w:lvlText w:val="%5."/>
      <w:lvlJc w:val="left"/>
      <w:pPr>
        <w:ind w:left="3600" w:hanging="360"/>
      </w:pPr>
    </w:lvl>
    <w:lvl w:ilvl="5" w:tplc="30153630" w:tentative="1">
      <w:start w:val="1"/>
      <w:numFmt w:val="lowerRoman"/>
      <w:lvlText w:val="%6."/>
      <w:lvlJc w:val="right"/>
      <w:pPr>
        <w:ind w:left="4320" w:hanging="180"/>
      </w:pPr>
    </w:lvl>
    <w:lvl w:ilvl="6" w:tplc="30153630" w:tentative="1">
      <w:start w:val="1"/>
      <w:numFmt w:val="decimal"/>
      <w:lvlText w:val="%7."/>
      <w:lvlJc w:val="left"/>
      <w:pPr>
        <w:ind w:left="5040" w:hanging="360"/>
      </w:pPr>
    </w:lvl>
    <w:lvl w:ilvl="7" w:tplc="30153630" w:tentative="1">
      <w:start w:val="1"/>
      <w:numFmt w:val="lowerLetter"/>
      <w:lvlText w:val="%8."/>
      <w:lvlJc w:val="left"/>
      <w:pPr>
        <w:ind w:left="5760" w:hanging="360"/>
      </w:pPr>
    </w:lvl>
    <w:lvl w:ilvl="8" w:tplc="30153630" w:tentative="1">
      <w:start w:val="1"/>
      <w:numFmt w:val="lowerRoman"/>
      <w:lvlText w:val="%9."/>
      <w:lvlJc w:val="right"/>
      <w:pPr>
        <w:ind w:left="6480" w:hanging="180"/>
      </w:pPr>
    </w:lvl>
  </w:abstractNum>
  <w:abstractNum w:abstractNumId="14299239">
    <w:multiLevelType w:val="hybridMultilevel"/>
    <w:lvl w:ilvl="0" w:tplc="682250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299239">
    <w:abstractNumId w:val="14299239"/>
  </w:num>
  <w:num w:numId="14299240">
    <w:abstractNumId w:val="1429924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7337256" Type="http://schemas.microsoft.com/office/2011/relationships/commentsExtended" Target="commentsExtended.xml"/><Relationship Id="rId753315235" Type="http://schemas.microsoft.com/office/2011/relationships/people" Target="people.xml"/><Relationship Id="rId74806a7b65ed4f7ed" Type="http://schemas.openxmlformats.org/officeDocument/2006/relationships/hyperlink" Target="https://gd.eppo.int/taxon/LIRIHU/" TargetMode="External"/><Relationship Id="rId79156a7b65ed4f859" Type="http://schemas.openxmlformats.org/officeDocument/2006/relationships/hyperlink" Target="https://gd.eppo.int/taxon/LIRIHU/categorization" TargetMode="External"/><Relationship Id="rId47676a7b65ed50194" Type="http://schemas.openxmlformats.org/officeDocument/2006/relationships/hyperlink" Target="https://gd.eppo.int/taxon/LIRIHU/photos" TargetMode="External"/><Relationship Id="rId13026a7b65ed549d2" Type="http://schemas.openxmlformats.org/officeDocument/2006/relationships/hyperlink" Target="https://www.cabidigitallibrary.org/doi/full/10.1079/cabicompendium.30956" TargetMode="External"/><Relationship Id="rId68266a7b65ed54b01" Type="http://schemas.openxmlformats.org/officeDocument/2006/relationships/hyperlink" Target="https://doi.org/10.2903/j.efsa.2012.3028" TargetMode="External"/><Relationship Id="rId38026a7b65ed54c6d" Type="http://schemas.openxmlformats.org/officeDocument/2006/relationships/hyperlink" Target="https://food.ec.europa.eu/plants/plant-health-and-biosecurity/europhyt/interceptions_en" TargetMode="External"/><Relationship Id="rId43626a7b65ed54cee" Type="http://schemas.openxmlformats.org/officeDocument/2006/relationships/hyperlink" Target="https://doi.org/10.1371/journal.pone.0270897" TargetMode="External"/><Relationship Id="rId37006a7b65ed54d40" Type="http://schemas.openxmlformats.org/officeDocument/2006/relationships/hyperlink" Target="https://doi.org/10.15468/39omei" TargetMode="External"/><Relationship Id="rId16656a7b65ed54db1" Type="http://schemas.openxmlformats.org/officeDocument/2006/relationships/hyperlink" Target="https://www.ippc.int/static/media/files/publication/en/2017/01/DP_16_2016_En_2017-01-30.pdf" TargetMode="External"/><Relationship Id="rId98566a7b65ed5501b" Type="http://schemas.openxmlformats.org/officeDocument/2006/relationships/hyperlink" Target="https://www.plantbiosecuritydiagnostics.net.au/app/uploads/2018/11/NDP-27-American-serpentine-leaf-miner-Liriomyza-trifolii-V1.pdf" TargetMode="External"/><Relationship Id="rId72006a7b65ed5537d" Type="http://schemas.openxmlformats.org/officeDocument/2006/relationships/hyperlink" Target="http://dx.doi.org/10.5772/53874" TargetMode="External"/><Relationship Id="rId62776a7b65ed558a9" Type="http://schemas.openxmlformats.org/officeDocument/2006/relationships/hyperlink" Target="https://doi.org/10.1093/jisesa/iew121" TargetMode="External"/><Relationship Id="rId50626a7b65ed5595a" Type="http://schemas.openxmlformats.org/officeDocument/2006/relationships/hyperlink" Target="https://gd.eppo.int" TargetMode="External"/><Relationship Id="rId30016a7b65ed50049" Type="http://schemas.openxmlformats.org/officeDocument/2006/relationships/image" Target="media/imgrId30016a7b65ed50049.jpg"/><Relationship Id="rId68716a7b65ed539c2" Type="http://schemas.openxmlformats.org/officeDocument/2006/relationships/image" Target="media/imgrId68716a7b65ed539c2.jpg"/><Relationship Id="rId61186a7b65ed55a61" Type="http://schemas.openxmlformats.org/officeDocument/2006/relationships/image" Target="media/imgrId61186a7b65ed55a6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