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Liriomyza bryoniae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Liriomyza bryoniae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(Kaltenbach)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Agromyzidae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Agromyza bryoniae</w:t>
            </w:r>
            <w:r>
              <w:rPr>
                <w:rFonts w:ascii="Calibri" w:hAnsi="Calibri" w:eastAsia="Calibri" w:cs="Calibri"/>
                <w:color w:val="000000"/>
                <w:position w:val="-3"/>
                <w:sz w:val="22"/>
                <w:szCs w:val="22"/>
              </w:rPr>
              <w:t xml:space="preserve"> Kaltenbach, </w:t>
            </w:r>
            <w:r>
              <w:rPr>
                <w:rFonts w:ascii="Calibri" w:hAnsi="Calibri" w:eastAsia="Calibri" w:cs="Calibri"/>
                <w:i/>
                <w:iCs/>
                <w:color w:val="000000"/>
                <w:position w:val="-3"/>
                <w:sz w:val="22"/>
                <w:szCs w:val="22"/>
              </w:rPr>
              <w:t xml:space="preserve">Liriomyza citrulli</w:t>
            </w:r>
            <w:r>
              <w:rPr>
                <w:rFonts w:ascii="Calibri" w:hAnsi="Calibri" w:eastAsia="Calibri" w:cs="Calibri"/>
                <w:color w:val="000000"/>
                <w:position w:val="-3"/>
                <w:sz w:val="22"/>
                <w:szCs w:val="22"/>
              </w:rPr>
              <w:t xml:space="preserve"> Rodendorf, </w:t>
            </w:r>
            <w:r>
              <w:rPr>
                <w:rFonts w:ascii="Calibri" w:hAnsi="Calibri" w:eastAsia="Calibri" w:cs="Calibri"/>
                <w:i/>
                <w:iCs/>
                <w:color w:val="000000"/>
                <w:position w:val="-3"/>
                <w:sz w:val="22"/>
                <w:szCs w:val="22"/>
              </w:rPr>
              <w:t xml:space="preserve">Liriomyza hydrocotylae</w:t>
            </w:r>
            <w:r>
              <w:rPr>
                <w:rFonts w:ascii="Calibri" w:hAnsi="Calibri" w:eastAsia="Calibri" w:cs="Calibri"/>
                <w:color w:val="000000"/>
                <w:position w:val="-3"/>
                <w:sz w:val="22"/>
                <w:szCs w:val="22"/>
              </w:rPr>
              <w:t xml:space="preserve"> Hering, </w:t>
            </w:r>
            <w:r>
              <w:rPr>
                <w:rFonts w:ascii="Calibri" w:hAnsi="Calibri" w:eastAsia="Calibri" w:cs="Calibri"/>
                <w:i/>
                <w:iCs/>
                <w:color w:val="000000"/>
                <w:position w:val="-3"/>
                <w:sz w:val="22"/>
                <w:szCs w:val="22"/>
              </w:rPr>
              <w:t xml:space="preserve">Liriomyza mercurialis</w:t>
            </w:r>
            <w:r>
              <w:rPr>
                <w:rFonts w:ascii="Calibri" w:hAnsi="Calibri" w:eastAsia="Calibri" w:cs="Calibri"/>
                <w:color w:val="000000"/>
                <w:position w:val="-3"/>
                <w:sz w:val="22"/>
                <w:szCs w:val="22"/>
              </w:rPr>
              <w:t xml:space="preserve"> Hering, </w:t>
            </w:r>
            <w:r>
              <w:rPr>
                <w:rFonts w:ascii="Calibri" w:hAnsi="Calibri" w:eastAsia="Calibri" w:cs="Calibri"/>
                <w:i/>
                <w:iCs/>
                <w:color w:val="000000"/>
                <w:position w:val="-3"/>
                <w:sz w:val="22"/>
                <w:szCs w:val="22"/>
              </w:rPr>
              <w:t xml:space="preserve">Liriomyza nipponallia</w:t>
            </w:r>
            <w:r>
              <w:rPr>
                <w:rFonts w:ascii="Calibri" w:hAnsi="Calibri" w:eastAsia="Calibri" w:cs="Calibri"/>
                <w:color w:val="000000"/>
                <w:position w:val="-3"/>
                <w:sz w:val="22"/>
                <w:szCs w:val="22"/>
              </w:rPr>
              <w:t xml:space="preserve"> Sasakawa, </w:t>
            </w:r>
            <w:r>
              <w:rPr>
                <w:rFonts w:ascii="Calibri" w:hAnsi="Calibri" w:eastAsia="Calibri" w:cs="Calibri"/>
                <w:i/>
                <w:iCs/>
                <w:color w:val="000000"/>
                <w:position w:val="-3"/>
                <w:sz w:val="22"/>
                <w:szCs w:val="22"/>
              </w:rPr>
              <w:t xml:space="preserve">Liriomyza solani</w:t>
            </w:r>
            <w:r>
              <w:rPr>
                <w:rFonts w:ascii="Calibri" w:hAnsi="Calibri" w:eastAsia="Calibri" w:cs="Calibri"/>
                <w:color w:val="000000"/>
                <w:position w:val="-3"/>
                <w:sz w:val="22"/>
                <w:szCs w:val="22"/>
              </w:rPr>
              <w:t xml:space="preserve"> Hering, </w:t>
            </w:r>
            <w:r>
              <w:rPr>
                <w:rFonts w:ascii="Calibri" w:hAnsi="Calibri" w:eastAsia="Calibri" w:cs="Calibri"/>
                <w:i/>
                <w:iCs/>
                <w:color w:val="000000"/>
                <w:position w:val="-3"/>
                <w:sz w:val="22"/>
                <w:szCs w:val="22"/>
              </w:rPr>
              <w:t xml:space="preserve">Liriomyza triton</w:t>
            </w:r>
            <w:r>
              <w:rPr>
                <w:rFonts w:ascii="Calibri" w:hAnsi="Calibri" w:eastAsia="Calibri" w:cs="Calibri"/>
                <w:color w:val="000000"/>
                <w:position w:val="-3"/>
                <w:sz w:val="22"/>
                <w:szCs w:val="22"/>
              </w:rPr>
              <w:t xml:space="preserve"> Frey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potato leaf miner, potato leafminer, tomato leaf miner, tomato leafminer</w:t>
            </w:r>
            <w:hyperlink r:id="rId78036acb6efc1e15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16876acb6efc1e1d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LIRIBO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357606" name="name16116acb6efc1e7cc" descr="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5.jpg"/>
                          <pic:cNvPicPr/>
                        </pic:nvPicPr>
                        <pic:blipFill>
                          <a:blip r:embed="rId38986acb6efc1e7ca" cstate="print"/>
                          <a:stretch>
                            <a:fillRect/>
                          </a:stretch>
                        </pic:blipFill>
                        <pic:spPr>
                          <a:xfrm>
                            <a:off x="0" y="0"/>
                            <a:ext cx="2160000" cy="1281600"/>
                          </a:xfrm>
                          <a:prstGeom prst="rect">
                            <a:avLst/>
                          </a:prstGeom>
                          <a:ln w="0">
                            <a:noFill/>
                          </a:ln>
                        </pic:spPr>
                      </pic:pic>
                    </a:graphicData>
                  </a:graphic>
                </wp:inline>
              </w:drawing>
            </w:r>
            <w:hyperlink r:id="rId82316acb6efc1e8f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Agromyzidae are usually restricted to a limited number of host plants but a few species are highly polyphagous and have become important pests.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is one of those species and causes severe damage to open field and greenhouse tomatoes, cucurbits, cabbages and lettuces. In the pan-temperate region,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has been reported to complete its life cycle on plants from 16 families (Spencer, 1990).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probably originates from Southern Europe but has now spread to Central and Northern Europe as well as North Africa and Asia. In Central and Northern Europe, it is primarily found in glasshouses. In the more southern parts of its distribution range,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attacks crops grown in open fields.</w:t>
      </w:r>
    </w:p>
    <w:p>
      <w:r>
        <w:drawing>
          <wp:inline distT="0" distB="0" distL="0" distR="0">
            <wp:extent cx="6120000" cy="3067200"/>
            <wp:docPr id="2131013" name="name93506acb6efc1f668" descr="LIRIB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RIBO_distribution_map.jpg"/>
                    <pic:cNvPicPr/>
                  </pic:nvPicPr>
                  <pic:blipFill>
                    <a:blip r:embed="rId76876acb6efc1f66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Azerbaijan, Belgium, Bosnia and Herzegovina, Bulgaria, Croatia, Czechia, Denmark, Estonia, Finland, France (mainland), Germany, Greece (mainland, Kriti), Hungary, Israel, Italy (mainland, Sicilia), Latvia, Malta, Moldova, Republic of, Montenegro, Morocco, Netherlands, Norway, Poland, Portugal (mainland, Azores), Romania, Russian Federation (Central Russia, Southern Russia, Western Siberia), Serbia, Slovakia, Slovenia, Spain (mainland), Sweden, Switzerland, Türkiye, Ukraine, United Kingdom (Channel Islands,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Libya, Morocco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Gansu, Guangdong, Guangxi, Guizhou, Hainan, Hebei, Henan, Hubei, Hunan, Jiangsu, Jiangxi, Neimenggu, Shanxi, Sichuan, Xinjiang, Yunnan, Zhejiang), India (Maharashtra), Iraq, Israel, Japan, Korea, Republic of, Nepal, Saudi Arabia, Taiwan, Turkmenistan,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biological characteristics which make certain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particularly successful pests are their rapid population growth and their ability to attack a wide range of different host plants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the life history of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are summarized from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Minkenberg &amp; Lenteren (1986), Nedstam (1985), Parrella (1987), Spencer (1973) and Tokumaru &amp; Abe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some cases, males have been observed to emerge before females. Copulation takes place immediately after females have emerged; non-fertilized females are not able to oviposit. Females can live for a week or more but males only for up to 3 days. Female flies puncture the cotyledons or the young leaves of the host plants with their ovipositor causing wounds which serve as sites for feeding or oviposition. Males can also take advantage of these feeding sites as they are less well-equipped for puncturing plant tissue. Eggs are mostly inserted in the upper surface of leaves but also occasionally in the lower surfaces. Each egg puncture contains a single egg and the duration of this stage varies from 4 to 8 days at a mean temperature of 20.6°C. Females lay from one to ten eggs per day depending on the host plant.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which, in total, last 7-13 days, depending on the temperature. The larva feeds rapidly and forms an irregular linear mine. If a leaf is not sufficient for its full development, then the larva can move up in the stem into a second leaf; larvae are unable to penetrate leaves from the outside. Just before pupation, mature larvae cut semi-circular exit slits in the upper surface of the leaves. After a short period, larvae drop to the ground and then burrow just below the surface of the soil or in crop debris before pupating. The duration of the pupal stage depends on the temperature but under glass in the spring and summer months in England, it averages 3 weeks. During winter, pupae enter into diapause or retarded development until the following spring.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caused by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due to larval mining in the leaf tissue. As for the feeding and oviposition punctures, larval mining reduces the aesthetic value of ornamentals, decreases the photosynthetic capacity of leaves and can ultimately cause defoliation in severe cases (Spencer 1973). Mines are irregular linear structures in the leaf tissue. They are off-white with trails of dark frass in their margins.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adults cause two main types of damage to their host plants, feeding and oviposition punctures (Minkeberg &amp; van Lenteren, 1986;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Adult feeding and oviposition punctures reduce the aesthetic value of ornamental plants and can lead to death of young plants by reducing photosynthetic capacity. Punctures can also be invaded by fungi and bacteria causing additional damage to host plants. Feeding punctures appear as uneven rounded white speckles on the leaf surface whereas oviposition punctures are smaller and more rounded. These symptoms are not used as a diagnostic character as there is no variation between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the morphology of immature and adult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is given in Spencer (1973). The main diagnostic characters of the four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can be found in the IPPC diagnostic protocol for the genus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(IPPC, 2017) and the EPPO Standard on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(EPPO, 2022a). The following sections summarize this information.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and white, 0.25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that range from 0.5 mm in length for the first instar to 3.0 mm for the last one. Their shape is cylindrical and tapering towards the head. The anterior and posterior spiracles are located on projections and the posterior spiracles are composed of an ellipse of 7 to 12 pores. The mouth-hooks comprise two strongly alternating teeth.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larvae are cream-coloured except in the last stage where a yellow-orange patch appears dorsally at the anterior end.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Oval cylinder in shape of about 2.0 mm, -pale yellowish-brown. The spiracles are still visible in the pupal stage.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Small 1-3 mm long mostly black flies, with a yellow frons and scutellum. The orbital setulae are reclinate, the costa extends to vein M</w:t>
      </w:r>
      <w:r>
        <w:rPr>
          <w:rFonts w:ascii="Calibri" w:hAnsi="Calibri" w:eastAsia="Calibri" w:cs="Calibri"/>
          <w:color w:val="000000"/>
          <w:position w:val="-4"/>
          <w:sz w:val="22"/>
          <w:szCs w:val="22"/>
          <w:vertAlign w:val="subscript"/>
          <w:vertAlign w:val="subscript"/>
        </w:rPr>
        <w:t xml:space="preserve">1+2</w:t>
      </w:r>
      <w:r>
        <w:rPr>
          <w:rFonts w:ascii="Calibri" w:hAnsi="Calibri" w:eastAsia="Calibri" w:cs="Calibri"/>
          <w:color w:val="000000"/>
          <w:sz w:val="22"/>
          <w:szCs w:val="22"/>
        </w:rPr>
        <w:t xml:space="preserve"> and the femora are predominantly yellow. Male genitalia are characteristic of the genus.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more than 400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(GBIF, 2023) and their morphological identification relies on the male genitalia. Adult females can only be used for genus level identification. Likewise, there are no keys available for species level identification of the immature stages.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males can thus be separated from the very similar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strigata</w:t>
      </w:r>
      <w:r>
        <w:rPr>
          <w:rFonts w:ascii="Calibri" w:hAnsi="Calibri" w:eastAsia="Calibri" w:cs="Calibri"/>
          <w:color w:val="000000"/>
          <w:sz w:val="22"/>
          <w:szCs w:val="22"/>
        </w:rPr>
        <w:t xml:space="preserve"> by the structure of their distiphallus (terminal part of the intromittent organ) which is evenly sclerotized and has a pair of distal bulbs with circular rims (EPPO, 2022a; IPPC,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mines caused by larval feeding can also be useful for detection, but this character should be used in combination with other characters as mine pattern is influenced by environmental factors (EPPO, 2022a). Other flies as well as some Lepidoptera are known to have leaf-mining larvae and can potentially be confused with Agromyzidae. Nonetheless, the characteristic feeding punctures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allows diagnosticians to differentiate them from other leafminers.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male adults for morphological identification, the following molecular tests can be used for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species identification: PCR RFLP targeting the COII gene (Kox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conventional multiplex PCR targeting the COI gene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DNA barcoding based on the COI gene (EPPO, 2021). These molecular techniques are summarized in the EPPO and the IPPC diagnostic protocols for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Recently, molecular identification based on next generation sequencing techniques are also being developed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limited flight and can be dispersed by wind currents (see Malipatil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references), but are unlikely to spread over long distances. The high degree of polyphagy of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as well as the concealed lifestyle of its larvae make its dissemination through the movement of plant material the most likely mean of colonizing new countries (EFSA, 2020; Parrella, 1987;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w:t>
      </w:r>
      <w:r>
        <w:rPr>
          <w:rFonts w:ascii="Calibri" w:hAnsi="Calibri" w:eastAsia="Calibri" w:cs="Calibri"/>
          <w:color w:val="000000"/>
          <w:sz w:val="22"/>
          <w:szCs w:val="22"/>
        </w:rPr>
        <w:t xml:space="preserve">spp. are highly polyphagous and invasive and cause severe damage to vegetable crops and ornamentals through adult feeding, oviposition and larval mining.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is present throughout Europe as well as in North Africa and Asia. It is primarily a pest of open field and greenhouse tomatoes, cucurbits, cabbages and lettuces (EFSA, 2020, Spencer 1973). Tomato yield losses have been shown to reach 17% in highly infested greenhouses (Ledieu &amp; Helyer, 1985).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control strategy against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the extensive use of chemical control methods. However,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known to readily develop insecticide resistance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unlike their local parasitoids, thus causing serious leafminer outbreaks. Some insecticides are effective against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(Schuster &amp; Everett, 1983). These are translaminar and target the larvae inside the leafmines. Biological control methods are increasingly being used in horticultural industries and commercial vegetable production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There are more than 140 described species of </w:t>
      </w:r>
      <w:r>
        <w:rPr>
          <w:rFonts w:ascii="Calibri" w:hAnsi="Calibri" w:eastAsia="Calibri" w:cs="Calibri"/>
          <w:i/>
          <w:iCs/>
          <w:color w:val="000000"/>
          <w:sz w:val="22"/>
          <w:szCs w:val="22"/>
        </w:rPr>
        <w:t xml:space="preserve">Liriomyza </w:t>
      </w:r>
      <w:r>
        <w:rPr>
          <w:rFonts w:ascii="Calibri" w:hAnsi="Calibri" w:eastAsia="Calibri" w:cs="Calibri"/>
          <w:color w:val="000000"/>
          <w:sz w:val="22"/>
          <w:szCs w:val="22"/>
        </w:rPr>
        <w:t xml:space="preserve">parasitoids and these are the primary agents used in biological control strategies. In open fields, integrated pest management strategies promoting local parasitoid diversity are commonly used to control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In the more controlled greenhouse environments, commercially available parasitoids, such as species in the genus </w:t>
      </w:r>
      <w:r>
        <w:rPr>
          <w:rFonts w:ascii="Calibri" w:hAnsi="Calibri" w:eastAsia="Calibri" w:cs="Calibri"/>
          <w:i/>
          <w:iCs/>
          <w:color w:val="000000"/>
          <w:sz w:val="22"/>
          <w:szCs w:val="22"/>
        </w:rPr>
        <w:t xml:space="preserve">Diglyphus</w:t>
      </w:r>
      <w:r>
        <w:rPr>
          <w:rFonts w:ascii="Calibri" w:hAnsi="Calibri" w:eastAsia="Calibri" w:cs="Calibri"/>
          <w:color w:val="000000"/>
          <w:sz w:val="22"/>
          <w:szCs w:val="22"/>
        </w:rPr>
        <w:t xml:space="preserve">, are also reported to successfully regulate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infestations. Predators and entomopathogenic nematodes and fungi are also known but there are a limited number of species, and they are not considered as efficient control agents.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bryoniae </w:t>
      </w:r>
      <w:r>
        <w:rPr>
          <w:rFonts w:ascii="Calibri" w:hAnsi="Calibri" w:eastAsia="Calibri" w:cs="Calibri"/>
          <w:color w:val="000000"/>
          <w:sz w:val="22"/>
          <w:szCs w:val="22"/>
        </w:rPr>
        <w:t xml:space="preserve">is a highly polyphagous species present in the open field in Southern Europe as well as in greenhouses in the Northern parts of Europe. Within the EPPO region, this pest has the potential to spread to any areas where Asteraceae, Brassicaceae, Cucurbitaceae or Solanaceae are grown under glass.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dispersal mechanism is through the trade related movement of plant material hosting the immature stages of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(EFSA, 2020). The latter are cryptic and can easily go undetected in plants for planting, soil, fruit and vegetables, cut flowers and branches with foliage.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host plants for planting from countries where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is present are inspected over three months at regular intervals before export can take place, to verify the absence of the pest itself or any signs of its presence. General guidance on how to conduct inspections of places producing vegetable plants for planting under protected conditions can be found in the EPPO Standard PM 3/77 (EPPO, 2022b).</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its probable Southern European origin and its wide distribution in the EPPO region,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is not listed on the EPPO A1 and A2 lists of pests recommended for regulation as quarantine pests. However, in the European Union, specific measures are taken to protect areas that are still free from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(Protected Zones), which means that plant material should respect a list of established rules (Commission implementing regulation (EU) 2021/2285) before being cleared for import into the Protected Zones.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 Di Serio F, Gonthier P, Jacques M-A, Jaques Miret JA, Justesen AF, Magnusson CS, Milonas P, Navas-Cortes JA, Parnell S, Potting R, Reignault PL, Thulke H-H, Van der Werf W, Vicent Civera A, Yuen J, Zappalà L, Czwienczek E, Streissl F &amp; MacLeod A (2020) Scientific Opinion on the pest categorisation of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6038. </w:t>
      </w:r>
      <w:hyperlink r:id="rId27106acb6efc20a87" w:history="1">
        <w:r>
          <w:rPr>
            <w:rFonts w:ascii="Calibri" w:hAnsi="Calibri" w:eastAsia="Calibri" w:cs="Calibri"/>
            <w:color w:val="0000CC"/>
            <w:sz w:val="22"/>
            <w:szCs w:val="22"/>
            <w:u w:val="single"/>
          </w:rPr>
          <w:t xml:space="preserve">https://doi.org/10.2903/j.efsa.2020.6038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Diagnostics. PM 7/129 (2) DNA barcoding as an identification tool for a number of regulated pests: DNA barcoding arthropods.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(2022a) EPPO Standards.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326-345.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(2022b) EPPO Standards. Phytosanitary Procedures. PM 3/77 (2)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Frey JE, Frey B, Frei D, Blaser S, Gueuning M &amp; Bühlmann A (2022) Next generation biosecurity: Towards genome based identification to prevent spread of agronomic pests and pathogens using nanopore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(7), e0270897. </w:t>
      </w:r>
      <w:hyperlink r:id="rId10836acb6efc20c37" w:history="1">
        <w:r>
          <w:rPr>
            <w:rFonts w:ascii="Calibri" w:hAnsi="Calibri" w:eastAsia="Calibri" w:cs="Calibri"/>
            <w:color w:val="0000CC"/>
            <w:sz w:val="22"/>
            <w:szCs w:val="22"/>
            <w:u w:val="single"/>
          </w:rPr>
          <w:t xml:space="preserve">https://doi.org/10.1371/journal.pone.0270897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GBIF.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Mik, 1894 in GBIF Secretariat. GBIF Backbone Taxonomy. Checklist dataset </w:t>
      </w:r>
      <w:hyperlink r:id="rId43476acb6efc20c8a" w:history="1">
        <w:r>
          <w:rPr>
            <w:rFonts w:ascii="Calibri" w:hAnsi="Calibri" w:eastAsia="Calibri" w:cs="Calibri"/>
            <w:color w:val="0000CC"/>
            <w:sz w:val="22"/>
            <w:szCs w:val="22"/>
            <w:u w:val="single"/>
          </w:rPr>
          <w:t xml:space="preserve">https://doi.org/10.15468/39omei</w:t>
        </w:r>
      </w:hyperlink>
      <w:r>
        <w:rPr>
          <w:rFonts w:ascii="Calibri" w:hAnsi="Calibri" w:eastAsia="Calibri" w:cs="Calibri"/>
          <w:color w:val="000000"/>
          <w:sz w:val="22"/>
          <w:szCs w:val="22"/>
        </w:rPr>
        <w:t xml:space="preserve"> [accessed via GBIF.org on 2023-10-01].</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(2017) DP 16: Genus </w:t>
      </w:r>
      <w:r>
        <w:rPr>
          <w:rFonts w:ascii="Calibri" w:hAnsi="Calibri" w:eastAsia="Calibri" w:cs="Calibri"/>
          <w:i/>
          <w:iCs/>
          <w:color w:val="000000"/>
          <w:sz w:val="22"/>
          <w:szCs w:val="22"/>
        </w:rPr>
        <w:t xml:space="preserve">Liriomyza. International Standard for Phytosanitary measures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annex 16. </w:t>
      </w:r>
      <w:hyperlink r:id="rId76286acb6efc20cfe" w:history="1">
        <w:r>
          <w:rPr>
            <w:rFonts w:ascii="Calibri" w:hAnsi="Calibri" w:eastAsia="Calibri" w:cs="Calibri"/>
            <w:color w:val="0000CC"/>
            <w:sz w:val="22"/>
            <w:szCs w:val="22"/>
            <w:u w:val="single"/>
          </w:rPr>
          <w:t xml:space="preserve">https://www.ippc.int/static/media/files/publication/en/2017/01/DP_16_2016_En_2017-01-30.pdf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Kox LFF, Van Den Beld HE, Lindhout BI &amp; De Goffau LJW (2005) Identification of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by PCR‐RFLP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79-85.</w:t>
      </w:r>
    </w:p>
    <w:p>
      <w:pPr>
        <w:widowControl w:val="on"/>
        <w:pBdr/>
        <w:spacing w:before="220" w:after="220" w:line="240" w:lineRule="auto"/>
        <w:ind w:left="0" w:right="0"/>
        <w:jc w:val="left"/>
      </w:pPr>
      <w:r>
        <w:rPr>
          <w:rFonts w:ascii="Calibri" w:hAnsi="Calibri" w:eastAsia="Calibri" w:cs="Calibri"/>
          <w:color w:val="000000"/>
          <w:sz w:val="22"/>
          <w:szCs w:val="22"/>
        </w:rPr>
        <w:t xml:space="preserve">Ledieu MS &amp; Helyer NL (1985) Observations on the economic importance of tomato leaf miner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(Agromyzidae).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103-109.</w:t>
      </w:r>
    </w:p>
    <w:p>
      <w:pPr>
        <w:widowControl w:val="on"/>
        <w:pBdr/>
        <w:spacing w:before="220" w:after="220" w:line="240" w:lineRule="auto"/>
        <w:ind w:left="0" w:right="0"/>
        <w:jc w:val="left"/>
      </w:pPr>
      <w:r>
        <w:rPr>
          <w:rFonts w:ascii="Calibri" w:hAnsi="Calibri" w:eastAsia="Calibri" w:cs="Calibri"/>
          <w:color w:val="000000"/>
          <w:sz w:val="22"/>
          <w:szCs w:val="22"/>
        </w:rPr>
        <w:t xml:space="preserve">Liu T-X, Kang Le, Heinz KM &amp; Trumble J (2009) Biological control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leafminers: progress and perspective. </w:t>
      </w:r>
      <w:r>
        <w:rPr>
          <w:rFonts w:ascii="Calibri" w:hAnsi="Calibri" w:eastAsia="Calibri" w:cs="Calibri"/>
          <w:i/>
          <w:iCs/>
          <w:color w:val="000000"/>
          <w:sz w:val="22"/>
          <w:szCs w:val="22"/>
        </w:rPr>
        <w:t xml:space="preserve">CAB Reviews: Perspectives in Agriculture, Veterinary Science, Nutrition and Natural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004.</w:t>
      </w:r>
    </w:p>
    <w:p>
      <w:pPr>
        <w:widowControl w:val="on"/>
        <w:pBdr/>
        <w:spacing w:before="220" w:after="220" w:line="240" w:lineRule="auto"/>
        <w:ind w:left="0" w:right="0"/>
        <w:jc w:val="left"/>
      </w:pPr>
      <w:r>
        <w:rPr>
          <w:rFonts w:ascii="Calibri" w:hAnsi="Calibri" w:eastAsia="Calibri" w:cs="Calibri"/>
          <w:color w:val="000000"/>
          <w:sz w:val="22"/>
          <w:szCs w:val="22"/>
        </w:rPr>
        <w:t xml:space="preserve">Lee HS, Lu FM &amp; Wen HC (1990) Effects of temperature on the development of leafminer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(Kaltenbach) (Diptera: Agromyzidae) on head mustard. </w:t>
      </w:r>
      <w:r>
        <w:rPr>
          <w:rFonts w:ascii="Calibri" w:hAnsi="Calibri" w:eastAsia="Calibri" w:cs="Calibri"/>
          <w:i/>
          <w:iCs/>
          <w:color w:val="000000"/>
          <w:sz w:val="22"/>
          <w:szCs w:val="22"/>
        </w:rPr>
        <w:t xml:space="preserve">Chinese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143-150.</w:t>
      </w:r>
    </w:p>
    <w:p>
      <w:pPr>
        <w:widowControl w:val="on"/>
        <w:pBdr/>
        <w:spacing w:before="220" w:after="220" w:line="240" w:lineRule="auto"/>
        <w:ind w:left="0" w:right="0"/>
        <w:jc w:val="left"/>
      </w:pPr>
      <w:r>
        <w:rPr>
          <w:rFonts w:ascii="Calibri" w:hAnsi="Calibri" w:eastAsia="Calibri" w:cs="Calibri"/>
          <w:color w:val="000000"/>
          <w:sz w:val="22"/>
          <w:szCs w:val="22"/>
        </w:rPr>
        <w:t xml:space="preserve">Malipatil M, Blacket M, Wainer J, Ridland P &amp; Reviewer Jones DC (Subcommittee on Plant Health Diagnostics) (2016) National Diagnostic Protocol for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 NDP27 V1. </w:t>
      </w:r>
      <w:hyperlink r:id="rId34596acb6efc20f4f" w:history="1">
        <w:r>
          <w:rPr>
            <w:rFonts w:ascii="Calibri" w:hAnsi="Calibri" w:eastAsia="Calibri" w:cs="Calibri"/>
            <w:color w:val="0000CC"/>
            <w:sz w:val="22"/>
            <w:szCs w:val="22"/>
            <w:u w:val="single"/>
          </w:rPr>
          <w:t xml:space="preserve">https://www.plantbiosecuritydiagnostics.net.au/app/uploads/2018/11/NDP-27-American-serpentine-leaf-miner-Liriomyza-trifolii-V1.pdf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Minkenberg OPJM &amp; van Lenteren JC (1986) The leafminers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their parasites and host plants: a review. </w:t>
      </w:r>
      <w:r>
        <w:rPr>
          <w:rFonts w:ascii="Calibri" w:hAnsi="Calibri" w:eastAsia="Calibri" w:cs="Calibri"/>
          <w:i/>
          <w:iCs/>
          <w:color w:val="000000"/>
          <w:sz w:val="22"/>
          <w:szCs w:val="22"/>
        </w:rPr>
        <w:t xml:space="preserve">Agricultural University Wageningen Papers</w:t>
      </w:r>
      <w:r>
        <w:rPr>
          <w:rFonts w:ascii="Calibri" w:hAnsi="Calibri" w:eastAsia="Calibri" w:cs="Calibri"/>
          <w:color w:val="000000"/>
          <w:sz w:val="22"/>
          <w:szCs w:val="22"/>
        </w:rPr>
        <w:t xml:space="preserve"> No. 86-2, 50 pp.</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S, Masuda T, Mochizuki A, Konishi K, Tokumaru S, Ueno K &amp; Yamaguchi T (2013) Primer design for identifying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(Diptera: Agromyzidae) by multiplex PCR.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Nedstam B (1985) Development time of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Kalt. (Diptera: Agromyzidae) and two of its natural enemies, </w:t>
      </w:r>
      <w:r>
        <w:rPr>
          <w:rFonts w:ascii="Calibri" w:hAnsi="Calibri" w:eastAsia="Calibri" w:cs="Calibri"/>
          <w:i/>
          <w:iCs/>
          <w:color w:val="000000"/>
          <w:sz w:val="22"/>
          <w:szCs w:val="22"/>
        </w:rPr>
        <w:t xml:space="preserve">Dacnusa sibirica</w:t>
      </w:r>
      <w:r>
        <w:rPr>
          <w:rFonts w:ascii="Calibri" w:hAnsi="Calibri" w:eastAsia="Calibri" w:cs="Calibri"/>
          <w:color w:val="000000"/>
          <w:sz w:val="22"/>
          <w:szCs w:val="22"/>
        </w:rPr>
        <w:t xml:space="preserve"> Telenga (Hymenoptera: Braconidae) and </w:t>
      </w:r>
      <w:r>
        <w:rPr>
          <w:rFonts w:ascii="Calibri" w:hAnsi="Calibri" w:eastAsia="Calibri" w:cs="Calibri"/>
          <w:i/>
          <w:iCs/>
          <w:color w:val="000000"/>
          <w:sz w:val="22"/>
          <w:szCs w:val="22"/>
        </w:rPr>
        <w:t xml:space="preserve">Cyrtogaster vulgaris</w:t>
      </w:r>
      <w:r>
        <w:rPr>
          <w:rFonts w:ascii="Calibri" w:hAnsi="Calibri" w:eastAsia="Calibri" w:cs="Calibri"/>
          <w:color w:val="000000"/>
          <w:sz w:val="22"/>
          <w:szCs w:val="22"/>
        </w:rPr>
        <w:t xml:space="preserve"> Walker (Hymenoptera: Pteromalidae) at different constant temperatures.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422-417.</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 P (1987) Biology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(1), 201-224.</w:t>
      </w:r>
    </w:p>
    <w:p>
      <w:pPr>
        <w:widowControl w:val="on"/>
        <w:pBdr/>
        <w:spacing w:before="220" w:after="220" w:line="240" w:lineRule="auto"/>
        <w:ind w:left="0" w:right="0"/>
        <w:jc w:val="left"/>
      </w:pPr>
      <w:r>
        <w:rPr>
          <w:rFonts w:ascii="Calibri" w:hAnsi="Calibri" w:eastAsia="Calibri" w:cs="Calibri"/>
          <w:color w:val="000000"/>
          <w:sz w:val="22"/>
          <w:szCs w:val="22"/>
        </w:rPr>
        <w:t xml:space="preserve">Reitz SR, Gao Y &amp; Lei Z (2013) Insecticide use and the ecology of invasive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 management. </w:t>
      </w:r>
      <w:r>
        <w:rPr>
          <w:rFonts w:ascii="Calibri" w:hAnsi="Calibri" w:eastAsia="Calibri" w:cs="Calibri"/>
          <w:i/>
          <w:iCs/>
          <w:color w:val="000000"/>
          <w:sz w:val="22"/>
          <w:szCs w:val="22"/>
        </w:rPr>
        <w:t xml:space="preserve">Insecticides-development of safer and more effective technologies</w:t>
      </w:r>
      <w:r>
        <w:rPr>
          <w:rFonts w:ascii="Calibri" w:hAnsi="Calibri" w:eastAsia="Calibri" w:cs="Calibri"/>
          <w:color w:val="000000"/>
          <w:sz w:val="22"/>
          <w:szCs w:val="22"/>
        </w:rPr>
        <w:t xml:space="preserve">, 235-255. In: </w:t>
      </w:r>
      <w:r>
        <w:rPr>
          <w:rFonts w:ascii="Calibri" w:hAnsi="Calibri" w:eastAsia="Calibri" w:cs="Calibri"/>
          <w:i/>
          <w:iCs/>
          <w:color w:val="000000"/>
          <w:sz w:val="22"/>
          <w:szCs w:val="22"/>
        </w:rPr>
        <w:t xml:space="preserve">Insecticides. Development of safer and more effective technologies</w:t>
      </w:r>
      <w:r>
        <w:rPr>
          <w:rFonts w:ascii="Calibri" w:hAnsi="Calibri" w:eastAsia="Calibri" w:cs="Calibri"/>
          <w:color w:val="000000"/>
          <w:sz w:val="22"/>
          <w:szCs w:val="22"/>
        </w:rPr>
        <w:t xml:space="preserve"> (ed. Trdan S) IntechOpen, 235-255. </w:t>
      </w:r>
      <w:hyperlink r:id="rId43426acb6efc21214" w:history="1">
        <w:r>
          <w:rPr>
            <w:rFonts w:ascii="Calibri" w:hAnsi="Calibri" w:eastAsia="Calibri" w:cs="Calibri"/>
            <w:color w:val="0000CC"/>
            <w:sz w:val="22"/>
            <w:szCs w:val="22"/>
            <w:u w:val="single"/>
          </w:rPr>
          <w:t xml:space="preserve">http://dx.doi.org/10.5772/53874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Schuster DJ &amp; Everett PH (1983) Response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(Diptera:Agromyzidae) to insecticides on tomato.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1170-1174.</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 </w:t>
      </w:r>
      <w:r>
        <w:rPr>
          <w:rFonts w:ascii="Calibri" w:hAnsi="Calibri" w:eastAsia="Calibri" w:cs="Calibri"/>
          <w:i/>
          <w:iCs/>
          <w:color w:val="000000"/>
          <w:sz w:val="22"/>
          <w:szCs w:val="22"/>
        </w:rPr>
        <w:t xml:space="preserve">Agromyzidae (Diptera) of Economic Importance. </w:t>
      </w:r>
      <w:r>
        <w:rPr>
          <w:rFonts w:ascii="Calibri" w:hAnsi="Calibri" w:eastAsia="Calibri" w:cs="Calibri"/>
          <w:color w:val="000000"/>
          <w:sz w:val="22"/>
          <w:szCs w:val="22"/>
        </w:rPr>
        <w:t xml:space="preserve">Series Entomologica 9. Junk, The Hague, Netherlands, 418 pp.</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(1990) </w:t>
      </w:r>
      <w:r>
        <w:rPr>
          <w:rFonts w:ascii="Calibri" w:hAnsi="Calibri" w:eastAsia="Calibri" w:cs="Calibri"/>
          <w:i/>
          <w:iCs/>
          <w:color w:val="000000"/>
          <w:sz w:val="22"/>
          <w:szCs w:val="22"/>
        </w:rPr>
        <w:t xml:space="preserve">Host specialization in the world Agromyzidae (Diptera)</w:t>
      </w:r>
      <w:r>
        <w:rPr>
          <w:rFonts w:ascii="Calibri" w:hAnsi="Calibri" w:eastAsia="Calibri" w:cs="Calibri"/>
          <w:color w:val="000000"/>
          <w:sz w:val="22"/>
          <w:szCs w:val="22"/>
        </w:rPr>
        <w:t xml:space="preserve">. Kluwer Academic Publishers, London, UK, 444 pp.</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(2005) Effects of host plants on the development and host preference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135-142.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Liriomyza bryoniae. </w:t>
      </w:r>
      <w:hyperlink r:id="rId82916acb6efc21445" w:history="1">
        <w:r>
          <w:rPr>
            <w:rFonts w:ascii="Calibri" w:hAnsi="Calibri" w:eastAsia="Calibri" w:cs="Calibri"/>
            <w:color w:val="0000CC"/>
            <w:sz w:val="22"/>
            <w:szCs w:val="22"/>
            <w:u w:val="single"/>
          </w:rPr>
          <w:t xml:space="preserve">https://www.cabidigitallibrary.org/doi/full/10.1079/cabicompendium.30950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Sarah Chérasse, ANSES.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EPPO datasheets on pests recommended for regulation. Available online. </w:t>
      </w:r>
      <w:hyperlink r:id="rId56316acb6efc214f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43709205" name="name58016acb6efc215e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4446acb6efc215e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71070">
    <w:multiLevelType w:val="hybridMultilevel"/>
    <w:lvl w:ilvl="0" w:tplc="45604019">
      <w:start w:val="1"/>
      <w:numFmt w:val="decimal"/>
      <w:lvlText w:val="%1."/>
      <w:lvlJc w:val="left"/>
      <w:pPr>
        <w:ind w:left="720" w:hanging="360"/>
      </w:pPr>
    </w:lvl>
    <w:lvl w:ilvl="1" w:tplc="45604019" w:tentative="1">
      <w:start w:val="1"/>
      <w:numFmt w:val="lowerLetter"/>
      <w:lvlText w:val="%2."/>
      <w:lvlJc w:val="left"/>
      <w:pPr>
        <w:ind w:left="1440" w:hanging="360"/>
      </w:pPr>
    </w:lvl>
    <w:lvl w:ilvl="2" w:tplc="45604019" w:tentative="1">
      <w:start w:val="1"/>
      <w:numFmt w:val="lowerRoman"/>
      <w:lvlText w:val="%3."/>
      <w:lvlJc w:val="right"/>
      <w:pPr>
        <w:ind w:left="2160" w:hanging="180"/>
      </w:pPr>
    </w:lvl>
    <w:lvl w:ilvl="3" w:tplc="45604019" w:tentative="1">
      <w:start w:val="1"/>
      <w:numFmt w:val="decimal"/>
      <w:lvlText w:val="%4."/>
      <w:lvlJc w:val="left"/>
      <w:pPr>
        <w:ind w:left="2880" w:hanging="360"/>
      </w:pPr>
    </w:lvl>
    <w:lvl w:ilvl="4" w:tplc="45604019" w:tentative="1">
      <w:start w:val="1"/>
      <w:numFmt w:val="lowerLetter"/>
      <w:lvlText w:val="%5."/>
      <w:lvlJc w:val="left"/>
      <w:pPr>
        <w:ind w:left="3600" w:hanging="360"/>
      </w:pPr>
    </w:lvl>
    <w:lvl w:ilvl="5" w:tplc="45604019" w:tentative="1">
      <w:start w:val="1"/>
      <w:numFmt w:val="lowerRoman"/>
      <w:lvlText w:val="%6."/>
      <w:lvlJc w:val="right"/>
      <w:pPr>
        <w:ind w:left="4320" w:hanging="180"/>
      </w:pPr>
    </w:lvl>
    <w:lvl w:ilvl="6" w:tplc="45604019" w:tentative="1">
      <w:start w:val="1"/>
      <w:numFmt w:val="decimal"/>
      <w:lvlText w:val="%7."/>
      <w:lvlJc w:val="left"/>
      <w:pPr>
        <w:ind w:left="5040" w:hanging="360"/>
      </w:pPr>
    </w:lvl>
    <w:lvl w:ilvl="7" w:tplc="45604019" w:tentative="1">
      <w:start w:val="1"/>
      <w:numFmt w:val="lowerLetter"/>
      <w:lvlText w:val="%8."/>
      <w:lvlJc w:val="left"/>
      <w:pPr>
        <w:ind w:left="5760" w:hanging="360"/>
      </w:pPr>
    </w:lvl>
    <w:lvl w:ilvl="8" w:tplc="45604019" w:tentative="1">
      <w:start w:val="1"/>
      <w:numFmt w:val="lowerRoman"/>
      <w:lvlText w:val="%9."/>
      <w:lvlJc w:val="right"/>
      <w:pPr>
        <w:ind w:left="6480" w:hanging="180"/>
      </w:pPr>
    </w:lvl>
  </w:abstractNum>
  <w:abstractNum w:abstractNumId="58571069">
    <w:multiLevelType w:val="hybridMultilevel"/>
    <w:lvl w:ilvl="0" w:tplc="91952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71069">
    <w:abstractNumId w:val="58571069"/>
  </w:num>
  <w:num w:numId="58571070">
    <w:abstractNumId w:val="5857107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9512932" Type="http://schemas.microsoft.com/office/2011/relationships/commentsExtended" Target="commentsExtended.xml"/><Relationship Id="rId905751080" Type="http://schemas.microsoft.com/office/2011/relationships/people" Target="people.xml"/><Relationship Id="rId78036acb6efc1e15d" Type="http://schemas.openxmlformats.org/officeDocument/2006/relationships/hyperlink" Target="https://gd.eppo.int/taxon/LIRIBO/" TargetMode="External"/><Relationship Id="rId16876acb6efc1e1d5" Type="http://schemas.openxmlformats.org/officeDocument/2006/relationships/hyperlink" Target="https://gd.eppo.int/taxon/LIRIBO/categorization" TargetMode="External"/><Relationship Id="rId82316acb6efc1e8f2" Type="http://schemas.openxmlformats.org/officeDocument/2006/relationships/hyperlink" Target="https://gd.eppo.int/taxon/LIRIBO/photos" TargetMode="External"/><Relationship Id="rId27106acb6efc20a87" Type="http://schemas.openxmlformats.org/officeDocument/2006/relationships/hyperlink" Target="https://doi.org/10.2903/j.efsa.2020.6038" TargetMode="External"/><Relationship Id="rId10836acb6efc20c37" Type="http://schemas.openxmlformats.org/officeDocument/2006/relationships/hyperlink" Target="https://doi.org/10.1371/journal.pone.0270897" TargetMode="External"/><Relationship Id="rId43476acb6efc20c8a" Type="http://schemas.openxmlformats.org/officeDocument/2006/relationships/hyperlink" Target="https://doi.org/10.15468/39omei" TargetMode="External"/><Relationship Id="rId76286acb6efc20cfe" Type="http://schemas.openxmlformats.org/officeDocument/2006/relationships/hyperlink" Target="https://www.ippc.int/static/media/files/publication/en/2017/01/DP_16_2016_En_2017-01-30.pdf" TargetMode="External"/><Relationship Id="rId34596acb6efc20f4f" Type="http://schemas.openxmlformats.org/officeDocument/2006/relationships/hyperlink" Target="https://www.plantbiosecuritydiagnostics.net.au/app/uploads/2018/11/NDP-27-American-serpentine-leaf-miner-Liriomyza-trifolii-V1.pdf" TargetMode="External"/><Relationship Id="rId43426acb6efc21214" Type="http://schemas.openxmlformats.org/officeDocument/2006/relationships/hyperlink" Target="http://dx.doi.org/10.5772/53874" TargetMode="External"/><Relationship Id="rId82916acb6efc21445" Type="http://schemas.openxmlformats.org/officeDocument/2006/relationships/hyperlink" Target="https://www.cabidigitallibrary.org/doi/full/10.1079/cabicompendium.30950" TargetMode="External"/><Relationship Id="rId56316acb6efc214fe" Type="http://schemas.openxmlformats.org/officeDocument/2006/relationships/hyperlink" Target="https://gd.eppo.int" TargetMode="External"/><Relationship Id="rId38986acb6efc1e7ca" Type="http://schemas.openxmlformats.org/officeDocument/2006/relationships/image" Target="media/imgrId38986acb6efc1e7ca.jpg"/><Relationship Id="rId76876acb6efc1f665" Type="http://schemas.openxmlformats.org/officeDocument/2006/relationships/image" Target="media/imgrId76876acb6efc1f665.jpg"/><Relationship Id="rId14446acb6efc215e7" Type="http://schemas.openxmlformats.org/officeDocument/2006/relationships/image" Target="media/imgrId14446acb6efc215e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