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bryoniae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bryoniae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(Kaltenbach)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bryoniae</w:t>
            </w:r>
            <w:r>
              <w:rPr>
                <w:rFonts w:ascii="Calibri" w:hAnsi="Calibri" w:eastAsia="Calibri" w:cs="Calibri"/>
                <w:color w:val="000000"/>
                <w:position w:val="-3"/>
                <w:sz w:val="22"/>
                <w:szCs w:val="22"/>
              </w:rPr>
              <w:t xml:space="preserve"> Kaltenbach, </w:t>
            </w:r>
            <w:r>
              <w:rPr>
                <w:rFonts w:ascii="Calibri" w:hAnsi="Calibri" w:eastAsia="Calibri" w:cs="Calibri"/>
                <w:i/>
                <w:iCs/>
                <w:color w:val="000000"/>
                <w:position w:val="-3"/>
                <w:sz w:val="22"/>
                <w:szCs w:val="22"/>
              </w:rPr>
              <w:t xml:space="preserve">Liriomyza citrulli</w:t>
            </w:r>
            <w:r>
              <w:rPr>
                <w:rFonts w:ascii="Calibri" w:hAnsi="Calibri" w:eastAsia="Calibri" w:cs="Calibri"/>
                <w:color w:val="000000"/>
                <w:position w:val="-3"/>
                <w:sz w:val="22"/>
                <w:szCs w:val="22"/>
              </w:rPr>
              <w:t xml:space="preserve"> Rodendorf, </w:t>
            </w:r>
            <w:r>
              <w:rPr>
                <w:rFonts w:ascii="Calibri" w:hAnsi="Calibri" w:eastAsia="Calibri" w:cs="Calibri"/>
                <w:i/>
                <w:iCs/>
                <w:color w:val="000000"/>
                <w:position w:val="-3"/>
                <w:sz w:val="22"/>
                <w:szCs w:val="22"/>
              </w:rPr>
              <w:t xml:space="preserve">Liriomyza hydrocotylae</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mercurialis</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nipponallia</w:t>
            </w:r>
            <w:r>
              <w:rPr>
                <w:rFonts w:ascii="Calibri" w:hAnsi="Calibri" w:eastAsia="Calibri" w:cs="Calibri"/>
                <w:color w:val="000000"/>
                <w:position w:val="-3"/>
                <w:sz w:val="22"/>
                <w:szCs w:val="22"/>
              </w:rPr>
              <w:t xml:space="preserve"> Sasakawa, </w:t>
            </w:r>
            <w:r>
              <w:rPr>
                <w:rFonts w:ascii="Calibri" w:hAnsi="Calibri" w:eastAsia="Calibri" w:cs="Calibri"/>
                <w:i/>
                <w:iCs/>
                <w:color w:val="000000"/>
                <w:position w:val="-3"/>
                <w:sz w:val="22"/>
                <w:szCs w:val="22"/>
              </w:rPr>
              <w:t xml:space="preserve">Liriomyza solani</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triton</w:t>
            </w:r>
            <w:r>
              <w:rPr>
                <w:rFonts w:ascii="Calibri" w:hAnsi="Calibri" w:eastAsia="Calibri" w:cs="Calibri"/>
                <w:color w:val="000000"/>
                <w:position w:val="-3"/>
                <w:sz w:val="22"/>
                <w:szCs w:val="22"/>
              </w:rPr>
              <w:t xml:space="preserve"> Frey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leaf miner, potato leafminer, tomato leaf miner, tomato leafminer</w:t>
            </w:r>
            <w:hyperlink r:id="rId97206685382b5166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11846685382b516a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LIRIBO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5697420" name="name60386685382b51f36" descr="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5.jpg"/>
                          <pic:cNvPicPr/>
                        </pic:nvPicPr>
                        <pic:blipFill>
                          <a:blip r:embed="rId75516685382b51f34" cstate="print"/>
                          <a:stretch>
                            <a:fillRect/>
                          </a:stretch>
                        </pic:blipFill>
                        <pic:spPr>
                          <a:xfrm>
                            <a:off x="0" y="0"/>
                            <a:ext cx="2160000" cy="1281600"/>
                          </a:xfrm>
                          <a:prstGeom prst="rect">
                            <a:avLst/>
                          </a:prstGeom>
                          <a:ln w="0">
                            <a:noFill/>
                          </a:ln>
                        </pic:spPr>
                      </pic:pic>
                    </a:graphicData>
                  </a:graphic>
                </wp:inline>
              </w:drawing>
            </w:r>
            <w:hyperlink r:id="rId49866685382b5206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is one of those species and causes severe damage to open field and greenhouse tomatoes, cucurbits, cabbages and lettuces. In the pan-temperate region,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has been reported to complete its life cycle on plants from 16 families (Spencer, 1990).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probably originates from Southern Europe but has now spread to Central and Northern Europe as well as North Africa and Asia. In Central and Northern Europe, it is primarily found in glasshouses. In the more southern parts of its distribution range,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attacks crops grown in open fields.</w:t>
      </w:r>
    </w:p>
    <w:p>
      <w:r>
        <w:drawing>
          <wp:inline distT="0" distB="0" distL="0" distR="0">
            <wp:extent cx="6120000" cy="3067200"/>
            <wp:docPr id="23769201" name="name53016685382b530e6" descr="LIRIB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BO_distribution_map.jpg"/>
                    <pic:cNvPicPr/>
                  </pic:nvPicPr>
                  <pic:blipFill>
                    <a:blip r:embed="rId35786685382b530e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Belgium, Bosnia and Herzegovina, Bulgaria, Croatia, Czech Republic, Denmark, Estonia, Finland, France (mainland), Germany, Greece (mainland, Kriti), Hungary, Israel, Italy (mainland, Sicilia), Latvia, Malta, Moldova, Montenegro, Morocco, Netherlands, Norway, Poland, Portugal (mainland, Azores), Romania, Russia (Central Russia, Southern Russia, Western Siberia), Slovenia, Spain (mainland), Sweden, Türkiye, Ukraine, United Kingdom (Channel Islands,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Libya, Morocco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Guizhou, Hainan, Hebei, Henan, Hubei, Hunan, Jiangsu, Jiangxi, Neimenggu, Shanxi, Sichuan, Xinjiang, Yunnan, Zhejiang), India (Maharashtra), Iraq, Israel, Japan, Korea, Republic, Nepal, Taiwan, Turkmenistan,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are summarized from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Minkenberg &amp; Lenteren (1986), Nedstam (1985), Parrella (1987), Spencer (1973) and Tokumaru &amp; Abe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some cases, males have been observed to emerge before females. Copulation takes place immediately after females have emerged; non-fertilized females are not able to oviposit. Females can live for a week or more but males only for up to 3 days. Female flies puncture the cotyledons or the young leaves of the host plants with their ovipositor causing wounds which serve as sites for feeding or oviposition. Males can also take advantage of these feeding sites as they are less well-equipped for puncturing plant tissue. Eggs are mostly inserted in the upper surface of leaves but also occasionally in the lower surfaces. Each egg puncture contains a single egg and the duration of this stage varies from 4 to 8 days at a mean temperature of 20.6°C. Females lay from one to ten eggs per day depending on the host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which, in total, last 7-13 days, depending on the temperature. The larva feeds rapidly and forms an irregular linear mine. If a leaf is not sufficient for its full development, then the larva can move up in the stem into a second leaf; larvae are unable to penetrate leaves from the outside. Just before pupation, mature larvae cut semi-circular exit slits in the upper surface of the leaves. After a short period, larvae drop to the ground and then burrow just below the surface of the soil or in crop debris before pupating. The duration of the pupal stage depends on the temperature but under glass in the spring and summer months in England, it averages 3 weeks. During winter, pupae enter into diapause or retarded development until the following spring.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As for the feeding and oviposition punctures,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anterior and posterior spiracles are located on projections and the posterior spiracles are composed of an ellipse of 7 to 12 pores. The mouth-hooks comprise two strongly alternating teeth.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larvae are cream-coloured except in the last stage where a yellow-orange patch appears dorsally at the anterior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-pale yellowish-brown.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is evenly sclerotized and has a pair of distal bulbs with circular rims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2020; Parrella,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w:t>
      </w:r>
      <w:r>
        <w:rPr>
          <w:rFonts w:ascii="Calibri" w:hAnsi="Calibri" w:eastAsia="Calibri" w:cs="Calibri"/>
          <w:color w:val="000000"/>
          <w:sz w:val="22"/>
          <w:szCs w:val="22"/>
        </w:rPr>
        <w:t xml:space="preserve">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present throughout Europe as well as in North Africa and Asia. It is primarily a pest of open field and greenhouse tomatoes, cucurbits, cabbages and lettuces (EFSA, 2020, Spencer 1973). Tomato yield losses have been shown to reach 17% in highly infested greenhouses (Ledieu &amp; Helyer,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 </w:t>
      </w:r>
      <w:r>
        <w:rPr>
          <w:rFonts w:ascii="Calibri" w:hAnsi="Calibri" w:eastAsia="Calibri" w:cs="Calibri"/>
          <w:color w:val="000000"/>
          <w:sz w:val="22"/>
          <w:szCs w:val="22"/>
        </w:rPr>
        <w:t xml:space="preserve">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bryoniae </w:t>
      </w:r>
      <w:r>
        <w:rPr>
          <w:rFonts w:ascii="Calibri" w:hAnsi="Calibri" w:eastAsia="Calibri" w:cs="Calibri"/>
          <w:color w:val="000000"/>
          <w:sz w:val="22"/>
          <w:szCs w:val="22"/>
        </w:rPr>
        <w:t xml:space="preserve">is a highly polyphagous species present in the open field in Southern Europe as well as in greenhouses in the Northern parts of Europe. Within the EPPO region, this pest has the potential to spread to any areas where Asteraceae, Brassicaceae, Cucurbitaceae or Solanaceae are grown under glass.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dispersal mechanism is through the trade related movement of plant material hosting the immature stages of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(EFSA, 2020).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present are inspected over three months at regular intervals before export can take place, to verify the absence of the pest itself or any signs of its presence. General guidance on how to conduct inspections of places producing vegetable plants for planting under protected conditions can be found in the EPPO Standard PM 3/77 (EPPO, 2022b).</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its probable Southern European origin and its wide distribution in the EPPO region,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not listed on the EPPO A1 and A2 lists of pests recommended for regulation as quarantine pests. However, in the European Union, specific measures are taken to protect areas that are still free from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6038. </w:t>
      </w:r>
      <w:hyperlink r:id="rId39526685382b53e5c" w:history="1">
        <w:r>
          <w:rPr>
            <w:rFonts w:ascii="Calibri" w:hAnsi="Calibri" w:eastAsia="Calibri" w:cs="Calibri"/>
            <w:color w:val="0000CC"/>
            <w:sz w:val="22"/>
            <w:szCs w:val="22"/>
            <w:u w:val="single"/>
          </w:rPr>
          <w:t xml:space="preserve">https://doi.org/10.2903/j.efsa.2020.6038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11046685382b54004"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17016685382b54056"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74066685382b540c5"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Ledieu MS &amp; Helyer NL (1985) Observations on the economic importance of tomato leaf miner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(Agromyzidae).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&amp;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Lee HS, Lu FM &amp; Wen HC (1990) Effects of temperature on the development of leafminer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(Kaltenbach) (Diptera: Agromyzidae) on head mustard. </w:t>
      </w:r>
      <w:r>
        <w:rPr>
          <w:rFonts w:ascii="Calibri" w:hAnsi="Calibri" w:eastAsia="Calibri" w:cs="Calibri"/>
          <w:i/>
          <w:iCs/>
          <w:color w:val="000000"/>
          <w:sz w:val="22"/>
          <w:szCs w:val="22"/>
        </w:rPr>
        <w:t xml:space="preserve">Chinese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143-150.</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 NDP27 V1. </w:t>
      </w:r>
      <w:hyperlink r:id="rId68796685382b5431a"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Nedstam B (1985) Development time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Kalt. (Diptera: Agromyzidae) and two of its natural enemies, </w:t>
      </w:r>
      <w:r>
        <w:rPr>
          <w:rFonts w:ascii="Calibri" w:hAnsi="Calibri" w:eastAsia="Calibri" w:cs="Calibri"/>
          <w:i/>
          <w:iCs/>
          <w:color w:val="000000"/>
          <w:sz w:val="22"/>
          <w:szCs w:val="22"/>
        </w:rPr>
        <w:t xml:space="preserve">Dacnusa sibirica</w:t>
      </w:r>
      <w:r>
        <w:rPr>
          <w:rFonts w:ascii="Calibri" w:hAnsi="Calibri" w:eastAsia="Calibri" w:cs="Calibri"/>
          <w:color w:val="000000"/>
          <w:sz w:val="22"/>
          <w:szCs w:val="22"/>
        </w:rPr>
        <w:t xml:space="preserve"> Telenga (Hymenoptera: Braconidae) and </w:t>
      </w:r>
      <w:r>
        <w:rPr>
          <w:rFonts w:ascii="Calibri" w:hAnsi="Calibri" w:eastAsia="Calibri" w:cs="Calibri"/>
          <w:i/>
          <w:iCs/>
          <w:color w:val="000000"/>
          <w:sz w:val="22"/>
          <w:szCs w:val="22"/>
        </w:rPr>
        <w:t xml:space="preserve">Cyrtogaster vulgaris</w:t>
      </w:r>
      <w:r>
        <w:rPr>
          <w:rFonts w:ascii="Calibri" w:hAnsi="Calibri" w:eastAsia="Calibri" w:cs="Calibri"/>
          <w:color w:val="000000"/>
          <w:sz w:val="22"/>
          <w:szCs w:val="22"/>
        </w:rPr>
        <w:t xml:space="preserve"> Walker (Hymenoptera: Pteromalidae) at different constant temperatures.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422-417.</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 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 In: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27496685382b545d2"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 </w:t>
      </w:r>
      <w:r>
        <w:rPr>
          <w:rFonts w:ascii="Calibri" w:hAnsi="Calibri" w:eastAsia="Calibri" w:cs="Calibri"/>
          <w:color w:val="000000"/>
          <w:sz w:val="22"/>
          <w:szCs w:val="22"/>
        </w:rPr>
        <w:t xml:space="preserve">Series Entomologica 9. Junk, The Hague, Netherlands, 418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Kluwer Academic Publishers, London, UK,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Liriomyza bryoniae. </w:t>
      </w:r>
      <w:hyperlink r:id="rId55686685382b547dc" w:history="1">
        <w:r>
          <w:rPr>
            <w:rFonts w:ascii="Calibri" w:hAnsi="Calibri" w:eastAsia="Calibri" w:cs="Calibri"/>
            <w:color w:val="0000CC"/>
            <w:sz w:val="22"/>
            <w:szCs w:val="22"/>
            <w:u w:val="single"/>
          </w:rPr>
          <w:t xml:space="preserve">https://www.cabidigitallibrary.org/doi/full/10.1079/cabicompendium.30950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EPPO datasheets on pests recommended for regulation. Available online. </w:t>
      </w:r>
      <w:hyperlink r:id="rId97746685382b549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60778660" name="name96616685382b54ee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086685382b54e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230030">
    <w:multiLevelType w:val="hybridMultilevel"/>
    <w:lvl w:ilvl="0" w:tplc="20455863">
      <w:start w:val="1"/>
      <w:numFmt w:val="decimal"/>
      <w:lvlText w:val="%1."/>
      <w:lvlJc w:val="left"/>
      <w:pPr>
        <w:ind w:left="720" w:hanging="360"/>
      </w:pPr>
    </w:lvl>
    <w:lvl w:ilvl="1" w:tplc="20455863" w:tentative="1">
      <w:start w:val="1"/>
      <w:numFmt w:val="lowerLetter"/>
      <w:lvlText w:val="%2."/>
      <w:lvlJc w:val="left"/>
      <w:pPr>
        <w:ind w:left="1440" w:hanging="360"/>
      </w:pPr>
    </w:lvl>
    <w:lvl w:ilvl="2" w:tplc="20455863" w:tentative="1">
      <w:start w:val="1"/>
      <w:numFmt w:val="lowerRoman"/>
      <w:lvlText w:val="%3."/>
      <w:lvlJc w:val="right"/>
      <w:pPr>
        <w:ind w:left="2160" w:hanging="180"/>
      </w:pPr>
    </w:lvl>
    <w:lvl w:ilvl="3" w:tplc="20455863" w:tentative="1">
      <w:start w:val="1"/>
      <w:numFmt w:val="decimal"/>
      <w:lvlText w:val="%4."/>
      <w:lvlJc w:val="left"/>
      <w:pPr>
        <w:ind w:left="2880" w:hanging="360"/>
      </w:pPr>
    </w:lvl>
    <w:lvl w:ilvl="4" w:tplc="20455863" w:tentative="1">
      <w:start w:val="1"/>
      <w:numFmt w:val="lowerLetter"/>
      <w:lvlText w:val="%5."/>
      <w:lvlJc w:val="left"/>
      <w:pPr>
        <w:ind w:left="3600" w:hanging="360"/>
      </w:pPr>
    </w:lvl>
    <w:lvl w:ilvl="5" w:tplc="20455863" w:tentative="1">
      <w:start w:val="1"/>
      <w:numFmt w:val="lowerRoman"/>
      <w:lvlText w:val="%6."/>
      <w:lvlJc w:val="right"/>
      <w:pPr>
        <w:ind w:left="4320" w:hanging="180"/>
      </w:pPr>
    </w:lvl>
    <w:lvl w:ilvl="6" w:tplc="20455863" w:tentative="1">
      <w:start w:val="1"/>
      <w:numFmt w:val="decimal"/>
      <w:lvlText w:val="%7."/>
      <w:lvlJc w:val="left"/>
      <w:pPr>
        <w:ind w:left="5040" w:hanging="360"/>
      </w:pPr>
    </w:lvl>
    <w:lvl w:ilvl="7" w:tplc="20455863" w:tentative="1">
      <w:start w:val="1"/>
      <w:numFmt w:val="lowerLetter"/>
      <w:lvlText w:val="%8."/>
      <w:lvlJc w:val="left"/>
      <w:pPr>
        <w:ind w:left="5760" w:hanging="360"/>
      </w:pPr>
    </w:lvl>
    <w:lvl w:ilvl="8" w:tplc="20455863" w:tentative="1">
      <w:start w:val="1"/>
      <w:numFmt w:val="lowerRoman"/>
      <w:lvlText w:val="%9."/>
      <w:lvlJc w:val="right"/>
      <w:pPr>
        <w:ind w:left="6480" w:hanging="180"/>
      </w:pPr>
    </w:lvl>
  </w:abstractNum>
  <w:abstractNum w:abstractNumId="56230029">
    <w:multiLevelType w:val="hybridMultilevel"/>
    <w:lvl w:ilvl="0" w:tplc="564876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30029">
    <w:abstractNumId w:val="56230029"/>
  </w:num>
  <w:num w:numId="56230030">
    <w:abstractNumId w:val="562300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1453311" Type="http://schemas.microsoft.com/office/2011/relationships/commentsExtended" Target="commentsExtended.xml"/><Relationship Id="rId205268218" Type="http://schemas.microsoft.com/office/2011/relationships/people" Target="people.xml"/><Relationship Id="rId97206685382b51667" Type="http://schemas.openxmlformats.org/officeDocument/2006/relationships/hyperlink" Target="https://gd.eppo.int/taxon/LIRIBO/" TargetMode="External"/><Relationship Id="rId11846685382b516ac" Type="http://schemas.openxmlformats.org/officeDocument/2006/relationships/hyperlink" Target="https://gd.eppo.int/taxon/LIRIBO/categorization" TargetMode="External"/><Relationship Id="rId49866685382b5206e" Type="http://schemas.openxmlformats.org/officeDocument/2006/relationships/hyperlink" Target="https://gd.eppo.int/taxon/LIRIBO/photos" TargetMode="External"/><Relationship Id="rId39526685382b53e5c" Type="http://schemas.openxmlformats.org/officeDocument/2006/relationships/hyperlink" Target="https://doi.org/10.2903/j.efsa.2020.6038" TargetMode="External"/><Relationship Id="rId11046685382b54004" Type="http://schemas.openxmlformats.org/officeDocument/2006/relationships/hyperlink" Target="https://doi.org/10.1371/journal.pone.0270897" TargetMode="External"/><Relationship Id="rId17016685382b54056" Type="http://schemas.openxmlformats.org/officeDocument/2006/relationships/hyperlink" Target="https://doi.org/10.15468/39omei" TargetMode="External"/><Relationship Id="rId74066685382b540c5" Type="http://schemas.openxmlformats.org/officeDocument/2006/relationships/hyperlink" Target="https://www.ippc.int/static/media/files/publication/en/2017/01/DP_16_2016_En_2017-01-30.pdf" TargetMode="External"/><Relationship Id="rId68796685382b5431a" Type="http://schemas.openxmlformats.org/officeDocument/2006/relationships/hyperlink" Target="https://www.plantbiosecuritydiagnostics.net.au/app/uploads/2018/11/NDP-27-American-serpentine-leaf-miner-Liriomyza-trifolii-V1.pdf" TargetMode="External"/><Relationship Id="rId27496685382b545d2" Type="http://schemas.openxmlformats.org/officeDocument/2006/relationships/hyperlink" Target="http://dx.doi.org/10.5772/53874" TargetMode="External"/><Relationship Id="rId55686685382b547dc" Type="http://schemas.openxmlformats.org/officeDocument/2006/relationships/hyperlink" Target="https://www.cabidigitallibrary.org/doi/full/10.1079/cabicompendium.30950" TargetMode="External"/><Relationship Id="rId97746685382b5493e" Type="http://schemas.openxmlformats.org/officeDocument/2006/relationships/hyperlink" Target="https://gd.eppo.int" TargetMode="External"/><Relationship Id="rId75516685382b51f34" Type="http://schemas.openxmlformats.org/officeDocument/2006/relationships/image" Target="media/imgrId75516685382b51f34.jpg"/><Relationship Id="rId35786685382b530e3" Type="http://schemas.openxmlformats.org/officeDocument/2006/relationships/image" Target="media/imgrId35786685382b530e3.jpg"/><Relationship Id="rId46086685382b54ee8" Type="http://schemas.openxmlformats.org/officeDocument/2006/relationships/image" Target="media/imgrId46086685382b54e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