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africanus'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5544668192604ffe7"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hyperlink r:id="rId2402668192605004d" w:history="1">
        <w:r>
          <w:rPr>
            <w:rFonts w:ascii="Calibri" w:hAnsi="Calibri" w:eastAsia="Calibri" w:cs="Calibri"/>
            <w:i/>
            <w:iCs/>
            <w:color w:val="0000CC"/>
            <w:sz w:val="22"/>
            <w:szCs w:val="22"/>
            <w:u w:val="single"/>
          </w:rPr>
          <w:t xml:space="preserve">Trioza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africanus'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Jagoueix,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greening bacterium (heat-sensitive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africanum</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africanus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greening of citrus</w:t>
            </w:r>
            <w:hyperlink r:id="rId5470668192605026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26466819260502d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LIBEAF</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3187046" name="name99026681926050cd9" descr="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jpg"/>
                          <pic:cNvPicPr/>
                        </pic:nvPicPr>
                        <pic:blipFill>
                          <a:blip r:embed="rId98236681926050cd7" cstate="print"/>
                          <a:stretch>
                            <a:fillRect/>
                          </a:stretch>
                        </pic:blipFill>
                        <pic:spPr>
                          <a:xfrm>
                            <a:off x="0" y="0"/>
                            <a:ext cx="2160000" cy="1281600"/>
                          </a:xfrm>
                          <a:prstGeom prst="rect">
                            <a:avLst/>
                          </a:prstGeom>
                          <a:ln w="0">
                            <a:noFill/>
                          </a:ln>
                        </pic:spPr>
                      </pic:pic>
                    </a:graphicData>
                  </a:graphic>
                </wp:inline>
              </w:drawing>
            </w:r>
            <w:hyperlink r:id="rId34246681926050e4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gerrardii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Click on the links to view the distributions of ‘</w:t>
      </w:r>
      <w:hyperlink r:id="rId77926681926051ddf" w:history="1">
        <w:r>
          <w:rPr>
            <w:rFonts w:ascii="Calibri" w:hAnsi="Calibri" w:eastAsia="Calibri" w:cs="Calibri"/>
            <w:i/>
            <w:iCs/>
            <w:color w:val="0000CC"/>
            <w:sz w:val="22"/>
            <w:szCs w:val="22"/>
            <w:u w:val="single"/>
          </w:rPr>
          <w:t xml:space="preserve">Ca</w:t>
        </w:r>
        <w:r>
          <w:rPr>
            <w:rFonts w:ascii="Calibri" w:hAnsi="Calibri" w:eastAsia="Calibri" w:cs="Calibri"/>
            <w:color w:val="0000CC"/>
            <w:sz w:val="22"/>
            <w:szCs w:val="22"/>
            <w:u w:val="single"/>
          </w:rPr>
          <w:t xml:space="preserve">. Liberibacter americanus</w:t>
        </w:r>
      </w:hyperlink>
      <w:r>
        <w:rPr>
          <w:rFonts w:ascii="Calibri" w:hAnsi="Calibri" w:eastAsia="Calibri" w:cs="Calibri"/>
          <w:color w:val="000000"/>
          <w:sz w:val="22"/>
          <w:szCs w:val="22"/>
        </w:rPr>
        <w:t xml:space="preserve">’ and </w:t>
      </w:r>
      <w:hyperlink r:id="rId33326681926051e1a" w:history="1">
        <w:r>
          <w:rPr>
            <w:rFonts w:ascii="Calibri" w:hAnsi="Calibri" w:eastAsia="Calibri" w:cs="Calibri"/>
            <w:color w:val="0000CC"/>
            <w:sz w:val="22"/>
            <w:szCs w:val="22"/>
            <w:u w:val="single"/>
          </w:rPr>
          <w:t xml:space="preserve">‘Ca. Liberibacter asiaticus’</w:t>
        </w:r>
      </w:hyperlink>
      <w:r>
        <w:rPr>
          <w:rFonts w:ascii="Calibri" w:hAnsi="Calibri" w:eastAsia="Calibri" w:cs="Calibri"/>
          <w:color w:val="000000"/>
          <w:sz w:val="22"/>
          <w:szCs w:val="22"/>
        </w:rPr>
        <w:t xml:space="preserve">.</w:t>
      </w:r>
    </w:p>
    <w:p>
      <w:r>
        <w:drawing>
          <wp:inline distT="0" distB="0" distL="0" distR="0">
            <wp:extent cx="6120000" cy="3067200"/>
            <wp:docPr id="21955464" name="name37356681926052ea0" descr="LIBEA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F_distribution_map.jpg"/>
                    <pic:cNvPicPr/>
                  </pic:nvPicPr>
                  <pic:blipFill>
                    <a:blip r:embed="rId75676681926052e9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Burundi, Cameroon, Central African Republic, Eswatini, Ethiopia, Kenya, Madagascar, Malawi, Mauritius, Nigeria, Rwanda, Saint Helena, Somalia,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Saudi Arabia,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27846681926054bc6"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53656681926054d56"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50356681926055032"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99206681926055453"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141166819260555a1"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373266819260555f4"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17736681926055684"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3399668192605575b" w:history="1">
        <w:r>
          <w:rPr>
            <w:rFonts w:ascii="Calibri" w:hAnsi="Calibri" w:eastAsia="Calibri" w:cs="Calibri"/>
            <w:color w:val="0000CC"/>
            <w:sz w:val="22"/>
            <w:szCs w:val="22"/>
            <w:u w:val="single"/>
          </w:rPr>
          <w:t xml:space="preserve">https://doi.org/10.1111/epp.12757</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71236681926055c86"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98076681926055d1c"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2936668192605648e"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81956681926056aa0"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africanus'</w:t>
      </w:r>
      <w:r>
        <w:rPr>
          <w:rFonts w:ascii="Calibri" w:hAnsi="Calibri" w:eastAsia="Calibri" w:cs="Calibri"/>
          <w:color w:val="000000"/>
          <w:sz w:val="22"/>
          <w:szCs w:val="22"/>
        </w:rPr>
        <w:t xml:space="preserve">. EPPO datasheets on pests recommended for regulation. Available online. </w:t>
      </w:r>
      <w:hyperlink r:id="rId2267668192605724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33195171" name="name7692668192605781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39668192605781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62866">
    <w:multiLevelType w:val="hybridMultilevel"/>
    <w:lvl w:ilvl="0" w:tplc="90207690">
      <w:start w:val="1"/>
      <w:numFmt w:val="decimal"/>
      <w:lvlText w:val="%1."/>
      <w:lvlJc w:val="left"/>
      <w:pPr>
        <w:ind w:left="720" w:hanging="360"/>
      </w:pPr>
    </w:lvl>
    <w:lvl w:ilvl="1" w:tplc="90207690" w:tentative="1">
      <w:start w:val="1"/>
      <w:numFmt w:val="lowerLetter"/>
      <w:lvlText w:val="%2."/>
      <w:lvlJc w:val="left"/>
      <w:pPr>
        <w:ind w:left="1440" w:hanging="360"/>
      </w:pPr>
    </w:lvl>
    <w:lvl w:ilvl="2" w:tplc="90207690" w:tentative="1">
      <w:start w:val="1"/>
      <w:numFmt w:val="lowerRoman"/>
      <w:lvlText w:val="%3."/>
      <w:lvlJc w:val="right"/>
      <w:pPr>
        <w:ind w:left="2160" w:hanging="180"/>
      </w:pPr>
    </w:lvl>
    <w:lvl w:ilvl="3" w:tplc="90207690" w:tentative="1">
      <w:start w:val="1"/>
      <w:numFmt w:val="decimal"/>
      <w:lvlText w:val="%4."/>
      <w:lvlJc w:val="left"/>
      <w:pPr>
        <w:ind w:left="2880" w:hanging="360"/>
      </w:pPr>
    </w:lvl>
    <w:lvl w:ilvl="4" w:tplc="90207690" w:tentative="1">
      <w:start w:val="1"/>
      <w:numFmt w:val="lowerLetter"/>
      <w:lvlText w:val="%5."/>
      <w:lvlJc w:val="left"/>
      <w:pPr>
        <w:ind w:left="3600" w:hanging="360"/>
      </w:pPr>
    </w:lvl>
    <w:lvl w:ilvl="5" w:tplc="90207690" w:tentative="1">
      <w:start w:val="1"/>
      <w:numFmt w:val="lowerRoman"/>
      <w:lvlText w:val="%6."/>
      <w:lvlJc w:val="right"/>
      <w:pPr>
        <w:ind w:left="4320" w:hanging="180"/>
      </w:pPr>
    </w:lvl>
    <w:lvl w:ilvl="6" w:tplc="90207690" w:tentative="1">
      <w:start w:val="1"/>
      <w:numFmt w:val="decimal"/>
      <w:lvlText w:val="%7."/>
      <w:lvlJc w:val="left"/>
      <w:pPr>
        <w:ind w:left="5040" w:hanging="360"/>
      </w:pPr>
    </w:lvl>
    <w:lvl w:ilvl="7" w:tplc="90207690" w:tentative="1">
      <w:start w:val="1"/>
      <w:numFmt w:val="lowerLetter"/>
      <w:lvlText w:val="%8."/>
      <w:lvlJc w:val="left"/>
      <w:pPr>
        <w:ind w:left="5760" w:hanging="360"/>
      </w:pPr>
    </w:lvl>
    <w:lvl w:ilvl="8" w:tplc="90207690" w:tentative="1">
      <w:start w:val="1"/>
      <w:numFmt w:val="lowerRoman"/>
      <w:lvlText w:val="%9."/>
      <w:lvlJc w:val="right"/>
      <w:pPr>
        <w:ind w:left="6480" w:hanging="180"/>
      </w:pPr>
    </w:lvl>
  </w:abstractNum>
  <w:abstractNum w:abstractNumId="52062865">
    <w:multiLevelType w:val="hybridMultilevel"/>
    <w:lvl w:ilvl="0" w:tplc="760736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062865">
    <w:abstractNumId w:val="52062865"/>
  </w:num>
  <w:num w:numId="52062866">
    <w:abstractNumId w:val="520628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1485836" Type="http://schemas.microsoft.com/office/2011/relationships/commentsExtended" Target="commentsExtended.xml"/><Relationship Id="rId621916026" Type="http://schemas.microsoft.com/office/2011/relationships/people" Target="people.xml"/><Relationship Id="rId5544668192604ffe7" Type="http://schemas.openxmlformats.org/officeDocument/2006/relationships/hyperlink" Target="https://gd.eppo.int/taxon/DIAACI/datasheet" TargetMode="External"/><Relationship Id="rId2402668192605004d" Type="http://schemas.openxmlformats.org/officeDocument/2006/relationships/hyperlink" Target="https://gd.eppo.int/taxon/TRIZER/datasheet" TargetMode="External"/><Relationship Id="rId5470668192605026d" Type="http://schemas.openxmlformats.org/officeDocument/2006/relationships/hyperlink" Target="https://gd.eppo.int/taxon/LIBEAF/" TargetMode="External"/><Relationship Id="rId326466819260502d4" Type="http://schemas.openxmlformats.org/officeDocument/2006/relationships/hyperlink" Target="https://gd.eppo.int/taxon/LIBEAF/categorization" TargetMode="External"/><Relationship Id="rId34246681926050e42" Type="http://schemas.openxmlformats.org/officeDocument/2006/relationships/hyperlink" Target="https://gd.eppo.int/taxon/LIBEAF/photos" TargetMode="External"/><Relationship Id="rId77926681926051ddf" Type="http://schemas.openxmlformats.org/officeDocument/2006/relationships/hyperlink" Target="https://gd.eppo.int/taxon/LIBEAM/distribution" TargetMode="External"/><Relationship Id="rId33326681926051e1a" Type="http://schemas.openxmlformats.org/officeDocument/2006/relationships/hyperlink" Target="https://gd.eppo.int/taxon/LIBEAS/distribution" TargetMode="External"/><Relationship Id="rId27846681926054bc6" Type="http://schemas.openxmlformats.org/officeDocument/2006/relationships/hyperlink" Target="https://doi.org/10.1038/s41598-020-60712-0" TargetMode="External"/><Relationship Id="rId53656681926054d56" Type="http://schemas.openxmlformats.org/officeDocument/2006/relationships/hyperlink" Target="https://doi.org/10.4454/jpp.v92i2.171" TargetMode="External"/><Relationship Id="rId50356681926055032" Type="http://schemas.openxmlformats.org/officeDocument/2006/relationships/hyperlink" Target="http://www.cabi.org/isc/datasheet" TargetMode="External"/><Relationship Id="rId99206681926055453" Type="http://schemas.openxmlformats.org/officeDocument/2006/relationships/hyperlink" Target="https://doi.org/10.3389/fpls.2018.01976" TargetMode="External"/><Relationship Id="rId141166819260555a1" Type="http://schemas.openxmlformats.org/officeDocument/2006/relationships/hyperlink" Target="http://www.efsa.europa.eu/publications" TargetMode="External"/><Relationship Id="rId373266819260555f4" Type="http://schemas.openxmlformats.org/officeDocument/2006/relationships/hyperlink" Target="http://doi.org/10.5281/zenodo.2788905" TargetMode="External"/><Relationship Id="rId17736681926055684" Type="http://schemas.openxmlformats.org/officeDocument/2006/relationships/hyperlink" Target="https://doi.org/10.1111/epp.12619" TargetMode="External"/><Relationship Id="rId3399668192605575b" Type="http://schemas.openxmlformats.org/officeDocument/2006/relationships/hyperlink" Target="https://doi.org/10.1111/epp.12757" TargetMode="External"/><Relationship Id="rId71236681926055c86" Type="http://schemas.openxmlformats.org/officeDocument/2006/relationships/hyperlink" Target="https://doi.org/10.1094/PHP-2007-0906-01-RV" TargetMode="External"/><Relationship Id="rId98076681926055d1c" Type="http://schemas.openxmlformats.org/officeDocument/2006/relationships/hyperlink" Target="https://doi.org/10.1016/j.bioflm.2019.100005" TargetMode="External"/><Relationship Id="rId2936668192605648e" Type="http://schemas.openxmlformats.org/officeDocument/2006/relationships/hyperlink" Target="https://doi.org/10.21273/HORTSCI14696-19" TargetMode="External"/><Relationship Id="rId81956681926056aa0" Type="http://schemas.openxmlformats.org/officeDocument/2006/relationships/hyperlink" Target="http://gd.eppo.int/javascript%3A;" TargetMode="External"/><Relationship Id="rId2267668192605724f" Type="http://schemas.openxmlformats.org/officeDocument/2006/relationships/hyperlink" Target="https://gd.eppo.int" TargetMode="External"/><Relationship Id="rId98236681926050cd7" Type="http://schemas.openxmlformats.org/officeDocument/2006/relationships/image" Target="media/imgrId98236681926050cd7.jpg"/><Relationship Id="rId75676681926052e9c" Type="http://schemas.openxmlformats.org/officeDocument/2006/relationships/image" Target="media/imgrId75676681926052e9c.jpg"/><Relationship Id="rId15396681926057816" Type="http://schemas.openxmlformats.org/officeDocument/2006/relationships/image" Target="media/imgrId1539668192605781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