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Lespedeza cuneata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Lespedeza cuneata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(Dumont de Courset) G. Don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Fabales: Fabaceae: Faboideae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Anthyllis cuneata</w:t>
            </w:r>
            <w:r>
              <w:rPr>
                <w:rFonts w:ascii="Calibri" w:hAnsi="Calibri" w:eastAsia="Calibri" w:cs="Calibri"/>
                <w:color w:val="000000"/>
                <w:position w:val="-3"/>
                <w:sz w:val="22"/>
                <w:szCs w:val="22"/>
              </w:rPr>
              <w:t xml:space="preserve"> Dumont de Courset, </w:t>
            </w:r>
            <w:r>
              <w:rPr>
                <w:rFonts w:ascii="Calibri" w:hAnsi="Calibri" w:eastAsia="Calibri" w:cs="Calibri"/>
                <w:i/>
                <w:iCs/>
                <w:color w:val="000000"/>
                <w:position w:val="-3"/>
                <w:sz w:val="22"/>
                <w:szCs w:val="22"/>
              </w:rPr>
              <w:t xml:space="preserve">Aspalathus cuneata</w:t>
            </w:r>
            <w:r>
              <w:rPr>
                <w:rFonts w:ascii="Calibri" w:hAnsi="Calibri" w:eastAsia="Calibri" w:cs="Calibri"/>
                <w:color w:val="000000"/>
                <w:position w:val="-3"/>
                <w:sz w:val="22"/>
                <w:szCs w:val="22"/>
              </w:rPr>
              <w:t xml:space="preserve"> (Dumont de Courset) G. Don, </w:t>
            </w:r>
            <w:r>
              <w:rPr>
                <w:rFonts w:ascii="Calibri" w:hAnsi="Calibri" w:eastAsia="Calibri" w:cs="Calibri"/>
                <w:i/>
                <w:iCs/>
                <w:color w:val="000000"/>
                <w:position w:val="-3"/>
                <w:sz w:val="22"/>
                <w:szCs w:val="22"/>
              </w:rPr>
              <w:t xml:space="preserve">Hedysarum sericeum</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Lespedeza argyraea</w:t>
            </w:r>
            <w:r>
              <w:rPr>
                <w:rFonts w:ascii="Calibri" w:hAnsi="Calibri" w:eastAsia="Calibri" w:cs="Calibri"/>
                <w:color w:val="000000"/>
                <w:position w:val="-3"/>
                <w:sz w:val="22"/>
                <w:szCs w:val="22"/>
              </w:rPr>
              <w:t xml:space="preserve"> Siebold &amp; Zuccarini, </w:t>
            </w:r>
            <w:r>
              <w:rPr>
                <w:rFonts w:ascii="Calibri" w:hAnsi="Calibri" w:eastAsia="Calibri" w:cs="Calibri"/>
                <w:i/>
                <w:iCs/>
                <w:color w:val="000000"/>
                <w:position w:val="-3"/>
                <w:sz w:val="22"/>
                <w:szCs w:val="22"/>
              </w:rPr>
              <w:t xml:space="preserve">Lespedeza juncea var. sericea</w:t>
            </w:r>
            <w:r>
              <w:rPr>
                <w:rFonts w:ascii="Calibri" w:hAnsi="Calibri" w:eastAsia="Calibri" w:cs="Calibri"/>
                <w:color w:val="000000"/>
                <w:position w:val="-3"/>
                <w:sz w:val="22"/>
                <w:szCs w:val="22"/>
              </w:rPr>
              <w:t xml:space="preserve"> (Thunberg) Lace &amp; Hauech, </w:t>
            </w:r>
            <w:r>
              <w:rPr>
                <w:rFonts w:ascii="Calibri" w:hAnsi="Calibri" w:eastAsia="Calibri" w:cs="Calibri"/>
                <w:i/>
                <w:iCs/>
                <w:color w:val="000000"/>
                <w:position w:val="-3"/>
                <w:sz w:val="22"/>
                <w:szCs w:val="22"/>
              </w:rPr>
              <w:t xml:space="preserve">Lespedeza sericea var. latifolia</w:t>
            </w:r>
            <w:r>
              <w:rPr>
                <w:rFonts w:ascii="Calibri" w:hAnsi="Calibri" w:eastAsia="Calibri" w:cs="Calibri"/>
                <w:color w:val="000000"/>
                <w:position w:val="-3"/>
                <w:sz w:val="22"/>
                <w:szCs w:val="22"/>
              </w:rPr>
              <w:t xml:space="preserve"> Maximowcz, </w:t>
            </w:r>
            <w:r>
              <w:rPr>
                <w:rFonts w:ascii="Calibri" w:hAnsi="Calibri" w:eastAsia="Calibri" w:cs="Calibri"/>
                <w:i/>
                <w:iCs/>
                <w:color w:val="000000"/>
                <w:position w:val="-3"/>
                <w:sz w:val="22"/>
                <w:szCs w:val="22"/>
              </w:rPr>
              <w:t xml:space="preserve">Lespedeza sericea</w:t>
            </w:r>
            <w:r>
              <w:rPr>
                <w:rFonts w:ascii="Calibri" w:hAnsi="Calibri" w:eastAsia="Calibri" w:cs="Calibri"/>
                <w:color w:val="000000"/>
                <w:position w:val="-3"/>
                <w:sz w:val="22"/>
                <w:szCs w:val="22"/>
              </w:rPr>
              <w:t xml:space="preserve"> (Thunberg) Miquel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bush clover, Chinese lespedeza, Siberian lespedeza (US), bush clover, perennial lespedeza (US), sericea lespedeza (US), silky bush clover</w:t>
            </w:r>
            <w:hyperlink r:id="rId90576991bc52a813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42516991bc52a81a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LESCU</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has a native distribution to temperate and tropical Asia and Australasia (Harden, 2001).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has been introduced into South Africa but little information is available on its occurrence. </w:t>
      </w:r>
      <w:r>
        <w:rPr>
          <w:rFonts w:ascii="Calibri" w:hAnsi="Calibri" w:eastAsia="Calibri" w:cs="Calibri"/>
          <w:i/>
          <w:iCs/>
          <w:color w:val="000000"/>
          <w:sz w:val="22"/>
          <w:szCs w:val="22"/>
        </w:rPr>
        <w:t xml:space="preserve">L. cuneat</w:t>
      </w:r>
      <w:r>
        <w:rPr>
          <w:rFonts w:ascii="Calibri" w:hAnsi="Calibri" w:eastAsia="Calibri" w:cs="Calibri"/>
          <w:color w:val="000000"/>
          <w:sz w:val="22"/>
          <w:szCs w:val="22"/>
        </w:rPr>
        <w:t xml:space="preserve">a is not native to North America. It was initially planted in the USA in 1896 at the North Carolina Agricultural Experiment Station. In the 1920s and 1930s,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grown and planted for erosion control and mine reclamation but was not widely utilized as a pasture species until the 1940s. As of 2009,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known outside of cultivation as far north as New Jersey and Michigan, as far south as Florida and Texas, and as far west as Nebraska and Oklahoma.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populations are also reported in Hawaii. According to the Colorado Weed Management Association,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either absent or very limited in that state. The Southeastern Exotic Pest Plant Council reports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especially common in the Piedmont and Coastal Plain regions.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3262837" name="name24266991bc52a92e4" descr="LESC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CU_distribution_map.jpg"/>
                    <pic:cNvPicPr/>
                  </pic:nvPicPr>
                  <pic:blipFill>
                    <a:blip r:embed="rId10176991bc52a92e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Bhutan, East Timor, India, Indonesia, Japan, Korea, Republic of, Lao People's Democratic Republic, Malaysia, Nepal, Pakistan, Philippines,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Florida, Georgia, Indiana, Kansas, Kentucky, Louisiana, Mississippi, Missouri, New Jersey, North Carolina, Ohio, Oklahoma, Pennsylvania,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Erect or sub-erect perennial herbaceous legume.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is a long-lived perennial or subshrub, growing to a height of 0.5–1 m. The plant produces trifoliate leaves along the entire stem, which are more crowded than those of </w:t>
      </w:r>
      <w:r>
        <w:rPr>
          <w:rFonts w:ascii="Calibri" w:hAnsi="Calibri" w:eastAsia="Calibri" w:cs="Calibri"/>
          <w:i/>
          <w:iCs/>
          <w:color w:val="000000"/>
          <w:sz w:val="22"/>
          <w:szCs w:val="22"/>
        </w:rPr>
        <w:t xml:space="preserve">Lespedeza juncea</w:t>
      </w:r>
      <w:r>
        <w:rPr>
          <w:rFonts w:ascii="Calibri" w:hAnsi="Calibri" w:eastAsia="Calibri" w:cs="Calibri"/>
          <w:color w:val="000000"/>
          <w:sz w:val="22"/>
          <w:szCs w:val="22"/>
        </w:rPr>
        <w:t xml:space="preserve"> s.s. (Pramanik &amp; Thothathri, 1983); stems can be coarse or fine, depending on the cultivar (Hoveland &amp; Donnelly, 1985). Leaflets are long, narrow and indented at the end; one of the key features that has been used to distinguish</w:t>
      </w:r>
      <w:r>
        <w:rPr>
          <w:rFonts w:ascii="Calibri" w:hAnsi="Calibri" w:eastAsia="Calibri" w:cs="Calibri"/>
          <w:i/>
          <w:iCs/>
          <w:color w:val="000000"/>
          <w:sz w:val="22"/>
          <w:szCs w:val="22"/>
        </w:rPr>
        <w:t xml:space="preserve"> L. cuneata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L. juncea</w:t>
      </w:r>
      <w:r>
        <w:rPr>
          <w:rFonts w:ascii="Calibri" w:hAnsi="Calibri" w:eastAsia="Calibri" w:cs="Calibri"/>
          <w:color w:val="000000"/>
          <w:sz w:val="22"/>
          <w:szCs w:val="22"/>
        </w:rPr>
        <w:t xml:space="preserve"> s.s. is the length to width ratio of the leaflets (Pramanik &amp; Thothathri, 1983; Flora of China 2010), with the narrower-leafletted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showing ratios between 4:1 and 6:1, but </w:t>
      </w:r>
      <w:r>
        <w:rPr>
          <w:rFonts w:ascii="Calibri" w:hAnsi="Calibri" w:eastAsia="Calibri" w:cs="Calibri"/>
          <w:i/>
          <w:iCs/>
          <w:color w:val="000000"/>
          <w:sz w:val="22"/>
          <w:szCs w:val="22"/>
        </w:rPr>
        <w:t xml:space="preserve">L. juncea</w:t>
      </w:r>
      <w:r>
        <w:rPr>
          <w:rFonts w:ascii="Calibri" w:hAnsi="Calibri" w:eastAsia="Calibri" w:cs="Calibri"/>
          <w:color w:val="000000"/>
          <w:sz w:val="22"/>
          <w:szCs w:val="22"/>
        </w:rPr>
        <w:t xml:space="preserve"> s.s. being between 3:1 and 4:1.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is a prolific seed producer, with individual stems able to produce in excess of 1000 seeds, with between 130 and 390 kg of seed produced per acre; 1 kg of seed equals around 770 000 actual seeds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Seed yields are highest if no biomass is removed from the plant (e.g. from grazing, cutting, or burning) during the year of seed harvest (Adamson &amp; Donnelly, 1973). Seeds can be produced in the first year of growth: experiments in Oklahoma demonstrated that plants could set seed as early as 15 weeks (Farris, 2006). Seed are expected to survive for more than 20 years in the soil, although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noted that no direct data was available to confirm this expectation. Inferences have been made about seed banks from field studies; however, Carter &amp; Ungar (2002) found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seed in 80–90% of soil samples on restored forest on coal mine spoil, although plants were only present in two of four plots. Likewise, Honu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found over 160 seeds per square metre from a forest plot in Illinois where the plant was not found.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Pramanik &amp; Thothathri (1983) state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(as</w:t>
      </w:r>
      <w:r>
        <w:rPr>
          <w:rFonts w:ascii="Calibri" w:hAnsi="Calibri" w:eastAsia="Calibri" w:cs="Calibri"/>
          <w:i/>
          <w:iCs/>
          <w:color w:val="000000"/>
          <w:sz w:val="22"/>
          <w:szCs w:val="22"/>
        </w:rPr>
        <w:t xml:space="preserve"> L. juncea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sericea</w:t>
      </w:r>
      <w:r>
        <w:rPr>
          <w:rFonts w:ascii="Calibri" w:hAnsi="Calibri" w:eastAsia="Calibri" w:cs="Calibri"/>
          <w:color w:val="000000"/>
          <w:sz w:val="22"/>
          <w:szCs w:val="22"/>
        </w:rPr>
        <w:t xml:space="preserve">) is ‘the only representative of the group occurring in both temperate and tropical climates’, although their circumscription of </w:t>
      </w:r>
      <w:r>
        <w:rPr>
          <w:rFonts w:ascii="Calibri" w:hAnsi="Calibri" w:eastAsia="Calibri" w:cs="Calibri"/>
          <w:i/>
          <w:iCs/>
          <w:color w:val="000000"/>
          <w:sz w:val="22"/>
          <w:szCs w:val="22"/>
        </w:rPr>
        <w:t xml:space="preserve">L. juncea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sericea</w:t>
      </w:r>
      <w:r>
        <w:rPr>
          <w:rFonts w:ascii="Calibri" w:hAnsi="Calibri" w:eastAsia="Calibri" w:cs="Calibri"/>
          <w:color w:val="000000"/>
          <w:sz w:val="22"/>
          <w:szCs w:val="22"/>
        </w:rPr>
        <w:t xml:space="preserve"> includes some taxa that are accepted as distinct species by some other authorities. In the USA it grows from ‘Florida to Texas, north to Nebraska, and east to the Atlantic coast, through the states of Michigan and New York’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Mosjidis (1990), using growth chamber experiments, found that seedling height, shoot dry weight, leaf dry weight and stem dry weight of all genotypes tested were very sensitive to both day length and temperature. Increases in temperature and day length above the lowest temperature combination (18°C/14°C) and the shortest day length (11 h) brought about large increases in all measurements. Mosjidis (1990) suggests that 26°C/22°C or 30°C/ 26°C (day/night) and a day length of 13 h or 15 h are optimal conditions for screening seedling growth. </w:t>
      </w:r>
    </w:p>
    <w:p>
      <w:pPr>
        <w:widowControl w:val="on"/>
        <w:pBdr/>
        <w:spacing w:before="220" w:after="220" w:line="240" w:lineRule="auto"/>
        <w:ind w:left="0" w:right="0"/>
        <w:jc w:val="both"/>
      </w:pPr>
      <w:r>
        <w:rPr>
          <w:rFonts w:ascii="Calibri" w:hAnsi="Calibri" w:eastAsia="Calibri" w:cs="Calibri"/>
          <w:color w:val="000000"/>
          <w:sz w:val="22"/>
          <w:szCs w:val="22"/>
        </w:rPr>
        <w:t xml:space="preserve">Weber (2017) and Gucker (2010) report that typical invaded habitats include grassland, woodland, forests, edges of wetlands, pastures and disturbed sites.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grow where the annual precipitation exceeds 760 mm. However, the species is also considered to be drought tolerant and is well adapted to clay or loam soils (Hoveland &amp; Donnelly, 1985). A deep taproot system, with numerous lateral branches and finer fibrous roots, may penetrate 1.2 m or more into the soil (Guernsey, 1977;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contributes to the species’ drought resistance. Note that the breeding of cultivars adapted to particular soil types is likely to have extended the fundamental niche of the species; for example, Hoveland &amp; Donnelly (1985) report that the cultivar ‘Serala 76’ is better adapted to light-textured soils than the originally imported accessions.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tolerate shallow soils of low productivity with a low pH (&lt; 5), withstanding the high aluminium contents typical of such substrates (Cope, 1966; Plass &amp; Vogel, 1973; Hoveland &amp; Donnelly, 1985; Ohlenbusch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However,</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reportedly grows best between a pH of 6.0 and 6.5 on deep, well-drained clay or loamy soils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also note that the species tolerates shade reasonably well and is able to establish in dense shade where sunlight does not reach during the day; however, the best establishment is typically obtained where the competing vegetation is very short and light is able to reach both the seed and seedlings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It has been shown in the USA that the species performs better in soil in which it has been previously grown, although the precise mechanism for this self-facilitation is not known (Coykendall &amp; Houseman, 2014). Crawford &amp; Knight (2017) provided evidence that effects on the soil biota were responsible, but also found that the self-facilitation advantage was not found in competition with communities of native prairie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the socio-economic benefits of this species were considered to be high: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originally introduced for the purposes of fodder and soil conservation, with subsequent development of improved varieties for hay and pasturage (Hoveland &amp; Donnelly, 1985). Hoveland &amp; Donnelly (1985) estimated that total hay production was usually 6-11 tonnes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 the plant is still promoted for this purpose in some territories. The quality of the forage can be high due to its high levels of crude protein, although the quality is reduced if tannin levels are also high (hence the development of low-tannin varieties). Field drying also decreases tannin concentrations, and livestock will ‘readily consume’ hay containing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Gucker (2010) provides an overview of a number of variables affecting forage quality. The plant is also considered by some authors (e.g. Stubbendiek &amp; Conard, 1989) to be good for honey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effects of the species on animal health and the commercial quality of milk (a reduction in the number of somatic cells in milk) have also been reported (Min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2005). Forage containing condensed tannins, such as</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has shown anthelmintic activity against gastrointestinal nematodes of sheep and goats (Terrill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It may play a role in a rotation grazing system and may be included in an integrated control plan.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to provide rapid greening of disturbed sites includes its use for the revegetation of surface coal mine sites in the eastern USA (e.g. Carter &amp; Ungar, 2002).</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often been stated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valuable for wildlife (see Gucker, 2010), although some of this information appears to be anecdotal.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found the species to be an important year-round food source for reintroduced elk (</w:t>
      </w:r>
      <w:r>
        <w:rPr>
          <w:rFonts w:ascii="Calibri" w:hAnsi="Calibri" w:eastAsia="Calibri" w:cs="Calibri"/>
          <w:i/>
          <w:iCs/>
          <w:color w:val="000000"/>
          <w:sz w:val="22"/>
          <w:szCs w:val="22"/>
        </w:rPr>
        <w:t xml:space="preserve">Cervus elaphus</w:t>
      </w:r>
      <w:r>
        <w:rPr>
          <w:rFonts w:ascii="Calibri" w:hAnsi="Calibri" w:eastAsia="Calibri" w:cs="Calibri"/>
          <w:color w:val="000000"/>
          <w:sz w:val="22"/>
          <w:szCs w:val="22"/>
        </w:rPr>
        <w:t xml:space="preserve">) foraging on restored mine spoil in South-Eastern Kentucky. </w:t>
      </w: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has been recommended as a food source for the northern bobwhite quail (</w:t>
      </w:r>
      <w:r>
        <w:rPr>
          <w:rFonts w:ascii="Calibri" w:hAnsi="Calibri" w:eastAsia="Calibri" w:cs="Calibri"/>
          <w:i/>
          <w:iCs/>
          <w:color w:val="000000"/>
          <w:sz w:val="22"/>
          <w:szCs w:val="22"/>
        </w:rPr>
        <w:t xml:space="preserve">Colinus virginianus</w:t>
      </w:r>
      <w:r>
        <w:rPr>
          <w:rFonts w:ascii="Calibri" w:hAnsi="Calibri" w:eastAsia="Calibri" w:cs="Calibri"/>
          <w:color w:val="000000"/>
          <w:sz w:val="22"/>
          <w:szCs w:val="22"/>
        </w:rPr>
        <w:t xml:space="preserve">), although one study found that birds fed </w:t>
      </w: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experienced ‘critical’ weight losses, and that it would be unlikely to sustain birds during severe winter conditions (Newlon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Unger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used radio-tracking to determine habitat use by northern bobwhite on a reclaimed coal mining site and found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stands were frequently used; however, these authors still recommended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control could be beneficial, partly due the suppressive effect of the species on native plants that are of higher nutritional value to the birds. Many authors agree that, in general, the wildlife value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low (Vogel, 1981;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named in horticultural floras (e.g. Cullen, 1995) for the EPPO region and may be grown on a small scale and be available from horticultural suppliers. The species is also utilized as a forage species outside of the EPPO region and could be imported into the region for this purpose in the search for new protein plants in the future.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published evidence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being transported as part of hay material from the USA, there is evidence that hay is imported into the EU (EPPO, </w:t>
      </w:r>
      <w:r>
        <w:rPr>
          <w:rFonts w:ascii="Calibri" w:hAnsi="Calibri" w:eastAsia="Calibri" w:cs="Calibri"/>
          <w:color w:val="000000"/>
          <w:sz w:val="22"/>
          <w:szCs w:val="22"/>
        </w:rPr>
        <w:t xml:space="preserve">2018</w:t>
      </w:r>
      <w:r>
        <w:rPr>
          <w:rFonts w:ascii="Calibri" w:hAnsi="Calibri" w:eastAsia="Calibri" w:cs="Calibri"/>
          <w:color w:val="000000"/>
          <w:sz w:val="22"/>
          <w:szCs w:val="22"/>
        </w:rPr>
        <w:t xml:space="preserve">) and potentially seed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may be included.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All impacts described are from the USA.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thrive under a variety of conditions, crowding out native species in natural areas. The species forms dense stands in areas where it invades, reducing light availability and potentially increasing competition for soil water (Eddy &amp; Moore, 1998; Allred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Eddy &amp; Moore (1998) showed that invasions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into oak savannahs in South-Eastern Kansas reduced native species richness. For example, the number of native grass species decreased from 12 to 4 and native forb species declined from 27 to 8. There were also significant impacts on the numbers of invertebrate species found, and on the total biomass of native plant species. Peters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highlight that the bobwhite quail has low summer survival in areas dominated by</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Impacts on native plant diversity have also been identified in old fields; Brandon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found the species to suppress native plants, possibly through shading effects. Brandon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concluded that the species ‘can subsequently take over grassland communities’.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may also have impacts on native plant communities through allelopathic effects. Allelopathic chemicals have been found to reduce the performance of native grass species by up to 60% (Dudley &amp; Fick, 2003). Positive and negative effects on small mammal diversity and abundances in response to different levels of</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cover have also been reported (Howard, 2003). Nitrogen-fixing bacteria have been shown to benefit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enabling its growth in nutrient-poor conditions (Brandon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Houseman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thus, an additional impact on ecosystem processes is the potential for the species to increase soil nitrogen levels in invaded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replace more palatable forage species in some systems. High tannin levels in old plants can have a negative impact on cattle and horses.</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has the potential to disrupt pollination networks as the species has been shown to attract more pollinators than co-occurring native species (Woods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alter nutrient cycling and soil microbial communities.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provide an overview of control measures for </w:t>
      </w:r>
      <w:r>
        <w:rPr>
          <w:rFonts w:ascii="Calibri" w:hAnsi="Calibri" w:eastAsia="Calibri" w:cs="Calibri"/>
          <w:i/>
          <w:iCs/>
          <w:color w:val="000000"/>
          <w:sz w:val="22"/>
          <w:szCs w:val="22"/>
        </w:rPr>
        <w:t xml:space="preserve">L. cuneat</w:t>
      </w:r>
      <w:r>
        <w:rPr>
          <w:rFonts w:ascii="Calibri" w:hAnsi="Calibri" w:eastAsia="Calibri" w:cs="Calibri"/>
          <w:color w:val="000000"/>
          <w:sz w:val="22"/>
          <w:szCs w:val="22"/>
        </w:rPr>
        <w:t xml:space="preserve">a, emphasizing that, as with most invasive alien plants, ‘early detection, isolation of infested areas, and control of individual plants with approved herbicides’ offer the best approach. Integrated approaches to control are recommended for established stands, with the primary goal of reducing year-on-year seed production; these would typically include mixed combinations of grazing, burning and herbicide applications (see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for an example schedule).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note that conventional management practices of grazing and prescribed burning have not been effective in preventing the spread of</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however, burning can improve the effectiveness of herbicides if applied to the regrowth the same year.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was identified as a priority for risk assessment within the requirements of Regulation 1143/ 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had a moderate phytosanitary risk to the endangered area (OEPP/ EPPO, 2018) and was added to the EPPO A1 List of pests recommended for regulation. In 2019,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plant has been declared a noxious weed in Kansas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more recently, Nebraska (see </w:t>
      </w:r>
      <w:hyperlink r:id="rId60496991bc52aa43b" w:history="1">
        <w:r>
          <w:rPr>
            <w:rFonts w:ascii="Calibri" w:hAnsi="Calibri" w:eastAsia="Calibri" w:cs="Calibri"/>
            <w:color w:val="0000CC"/>
            <w:sz w:val="22"/>
            <w:szCs w:val="22"/>
            <w:u w:val="single"/>
          </w:rPr>
          <w:t xml:space="preserve">http://www.nda.nebraska.gov/plant/noxious_ weeds/index.html</w:t>
        </w:r>
      </w:hyperlink>
      <w:r>
        <w:rPr>
          <w:rFonts w:ascii="Calibri" w:hAnsi="Calibri" w:eastAsia="Calibri" w:cs="Calibri"/>
          <w:color w:val="000000"/>
          <w:sz w:val="22"/>
          <w:szCs w:val="22"/>
        </w:rPr>
        <w:t xml:space="preserve">). In Colorado, the species is also listed as a noxious weed </w:t>
      </w:r>
      <w:hyperlink r:id="rId67096991bc52aa45f" w:history="1">
        <w:r>
          <w:rPr>
            <w:rFonts w:ascii="Calibri" w:hAnsi="Calibri" w:eastAsia="Calibri" w:cs="Calibri"/>
            <w:color w:val="0000CC"/>
            <w:sz w:val="22"/>
            <w:szCs w:val="22"/>
            <w:u w:val="single"/>
          </w:rPr>
          <w:t xml:space="preserve">(https://plants.usda.gov/</w:t>
        </w:r>
      </w:hyperlink>
      <w:r>
        <w:rPr>
          <w:rFonts w:ascii="Calibri" w:hAnsi="Calibri" w:eastAsia="Calibri" w:cs="Calibri"/>
          <w:color w:val="000000"/>
          <w:sz w:val="22"/>
          <w:szCs w:val="22"/>
        </w:rPr>
        <w:t xml:space="preserve">). In addition, the species is listed as a noxious weed in New York State (</w:t>
      </w:r>
      <w:hyperlink r:id="rId16546991bc52aa483" w:history="1">
        <w:r>
          <w:rPr>
            <w:rFonts w:ascii="Calibri" w:hAnsi="Calibri" w:eastAsia="Calibri" w:cs="Calibri"/>
            <w:color w:val="0000CC"/>
            <w:sz w:val="22"/>
            <w:szCs w:val="22"/>
            <w:u w:val="single"/>
          </w:rPr>
          <w:t xml:space="preserve">http://www.dec.ny.gov/docs/lands_forests_pdf/islist.pdf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was considered for inclusion in the ‘black’ list of the Real Decreto (Royal Decree) 630/2013. This is a list of potentially invasive species. Inclusion on this list means, among other things, that the introduction of the species listed is prohibited, and that necessary measures should be taken for management, control and eradication. However, the species was not included in the final legislation.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Adamson HC &amp; Donnelly ED (1973) </w:t>
      </w:r>
      <w:r>
        <w:rPr>
          <w:rFonts w:ascii="Calibri" w:hAnsi="Calibri" w:eastAsia="Calibri" w:cs="Calibri"/>
          <w:i/>
          <w:iCs/>
          <w:color w:val="000000"/>
          <w:sz w:val="22"/>
          <w:szCs w:val="22"/>
        </w:rPr>
        <w:t xml:space="preserve">Effect of cutting and irrigation on seed yields of interstate sericea lespedeza.</w:t>
      </w:r>
      <w:r>
        <w:rPr>
          <w:rFonts w:ascii="Calibri" w:hAnsi="Calibri" w:eastAsia="Calibri" w:cs="Calibri"/>
          <w:color w:val="000000"/>
          <w:sz w:val="22"/>
          <w:szCs w:val="22"/>
        </w:rPr>
        <w:t xml:space="preserve"> Auburn University Agricultural Experimental Station Leaflet 87. </w:t>
      </w:r>
    </w:p>
    <w:p>
      <w:pPr>
        <w:widowControl w:val="on"/>
        <w:pBdr/>
        <w:spacing w:before="220" w:after="220" w:line="240" w:lineRule="auto"/>
        <w:ind w:left="0" w:right="0"/>
        <w:jc w:val="left"/>
      </w:pPr>
      <w:r>
        <w:rPr>
          <w:rFonts w:ascii="Calibri" w:hAnsi="Calibri" w:eastAsia="Calibri" w:cs="Calibri"/>
          <w:color w:val="000000"/>
          <w:sz w:val="22"/>
          <w:szCs w:val="22"/>
        </w:rPr>
        <w:t xml:space="preserve">Allred BW, Fuhlendorf SD, Monaco TA &amp; Will RE (2010) Morphological and physiological traits in the success of the invasive plant</w:t>
      </w:r>
      <w:r>
        <w:rPr>
          <w:rFonts w:ascii="Calibri" w:hAnsi="Calibri" w:eastAsia="Calibri" w:cs="Calibri"/>
          <w:i/>
          <w:iCs/>
          <w:color w:val="000000"/>
          <w:sz w:val="22"/>
          <w:szCs w:val="22"/>
        </w:rPr>
        <w:t xml:space="preserve"> Lespedeza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739–749. </w:t>
      </w:r>
    </w:p>
    <w:p>
      <w:pPr>
        <w:widowControl w:val="on"/>
        <w:pBdr/>
        <w:spacing w:before="220" w:after="220" w:line="240" w:lineRule="auto"/>
        <w:ind w:left="0" w:right="0"/>
        <w:jc w:val="left"/>
      </w:pPr>
      <w:r>
        <w:rPr>
          <w:rFonts w:ascii="Calibri" w:hAnsi="Calibri" w:eastAsia="Calibri" w:cs="Calibri"/>
          <w:color w:val="000000"/>
          <w:sz w:val="22"/>
          <w:szCs w:val="22"/>
        </w:rPr>
        <w:t xml:space="preserve">Brandon AL, Gibson DJ &amp; Middleton BA (2004) Mechanisms for dominance in an early successional old field by the invasive non-native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(Dum. Cours.) G. Don. </w:t>
      </w:r>
      <w:r>
        <w:rPr>
          <w:rFonts w:ascii="Calibri" w:hAnsi="Calibri" w:eastAsia="Calibri" w:cs="Calibri"/>
          <w:i/>
          <w:iCs/>
          <w:color w:val="000000"/>
          <w:sz w:val="22"/>
          <w:szCs w:val="22"/>
        </w:rPr>
        <w:t xml:space="preserve">Biological Invasion</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483–493.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prioritisation process for invasive alien plant species compliant with Regulation (EU) No. 1143/2014.</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hyperlink r:id="rId53996991bc52aa6f1" w:history="1">
        <w:r>
          <w:rPr>
            <w:rFonts w:ascii="Calibri" w:hAnsi="Calibri" w:eastAsia="Calibri" w:cs="Calibri"/>
            <w:color w:val="0000CC"/>
            <w:sz w:val="22"/>
            <w:szCs w:val="22"/>
            <w:u w:val="single"/>
          </w:rPr>
          <w:t xml:space="preserve">https://doi.org/10.1111/epp.12336.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Carter CT &amp; Ungar IA (2002) Aboveground vegetation, seed bank and soil analysis of a 31-year-old forest restoration on coal mine spoil in southeastern Ohio. </w:t>
      </w:r>
      <w:r>
        <w:rPr>
          <w:rFonts w:ascii="Calibri" w:hAnsi="Calibri" w:eastAsia="Calibri" w:cs="Calibri"/>
          <w:i/>
          <w:iCs/>
          <w:color w:val="000000"/>
          <w:sz w:val="22"/>
          <w:szCs w:val="22"/>
        </w:rPr>
        <w:t xml:space="preserve">The American Midland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44–59. </w:t>
      </w:r>
    </w:p>
    <w:p>
      <w:pPr>
        <w:widowControl w:val="on"/>
        <w:pBdr/>
        <w:spacing w:before="220" w:after="220" w:line="240" w:lineRule="auto"/>
        <w:ind w:left="0" w:right="0"/>
        <w:jc w:val="left"/>
      </w:pPr>
      <w:r>
        <w:rPr>
          <w:rFonts w:ascii="Calibri" w:hAnsi="Calibri" w:eastAsia="Calibri" w:cs="Calibri"/>
          <w:color w:val="000000"/>
          <w:sz w:val="22"/>
          <w:szCs w:val="22"/>
        </w:rPr>
        <w:t xml:space="preserve">Cope WA (1966) Cross-pollination in </w:t>
      </w:r>
      <w:r>
        <w:rPr>
          <w:rFonts w:ascii="Calibri" w:hAnsi="Calibri" w:eastAsia="Calibri" w:cs="Calibri"/>
          <w:i/>
          <w:iCs/>
          <w:color w:val="000000"/>
          <w:sz w:val="22"/>
          <w:szCs w:val="22"/>
        </w:rPr>
        <w:t xml:space="preserve">Sericea lespedeza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Science</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(5), 469–470. </w:t>
      </w:r>
    </w:p>
    <w:p>
      <w:pPr>
        <w:widowControl w:val="on"/>
        <w:pBdr/>
        <w:spacing w:before="220" w:after="220" w:line="240" w:lineRule="auto"/>
        <w:ind w:left="0" w:right="0"/>
        <w:jc w:val="left"/>
      </w:pPr>
      <w:r>
        <w:rPr>
          <w:rFonts w:ascii="Calibri" w:hAnsi="Calibri" w:eastAsia="Calibri" w:cs="Calibri"/>
          <w:color w:val="000000"/>
          <w:sz w:val="22"/>
          <w:szCs w:val="22"/>
        </w:rPr>
        <w:t xml:space="preserve">Coykendall KE &amp; Houseman GR (2014) </w:t>
      </w:r>
      <w:r>
        <w:rPr>
          <w:rFonts w:ascii="Calibri" w:hAnsi="Calibri" w:eastAsia="Calibri" w:cs="Calibri"/>
          <w:i/>
          <w:iCs/>
          <w:color w:val="000000"/>
          <w:sz w:val="22"/>
          <w:szCs w:val="22"/>
        </w:rPr>
        <w:t xml:space="preserve">Lespedeza cuneata </w:t>
      </w:r>
      <w:r>
        <w:rPr>
          <w:rFonts w:ascii="Calibri" w:hAnsi="Calibri" w:eastAsia="Calibri" w:cs="Calibri"/>
          <w:color w:val="000000"/>
          <w:sz w:val="22"/>
          <w:szCs w:val="22"/>
        </w:rPr>
        <w:t xml:space="preserve">invasion alters soils facilitating its own growth.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1735–1742. </w:t>
      </w:r>
    </w:p>
    <w:p>
      <w:pPr>
        <w:widowControl w:val="on"/>
        <w:pBdr/>
        <w:spacing w:before="220" w:after="220" w:line="240" w:lineRule="auto"/>
        <w:ind w:left="0" w:right="0"/>
        <w:jc w:val="left"/>
      </w:pPr>
      <w:r>
        <w:rPr>
          <w:rFonts w:ascii="Calibri" w:hAnsi="Calibri" w:eastAsia="Calibri" w:cs="Calibri"/>
          <w:color w:val="000000"/>
          <w:sz w:val="22"/>
          <w:szCs w:val="22"/>
        </w:rPr>
        <w:t xml:space="preserve">Crawford KM &amp; Knight TM (2017) Competition overwhelms the positive plant–soil feedback generated by an invasive plant.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 211–220. </w:t>
      </w:r>
    </w:p>
    <w:p>
      <w:pPr>
        <w:widowControl w:val="on"/>
        <w:pBdr/>
        <w:spacing w:before="220" w:after="220" w:line="240" w:lineRule="auto"/>
        <w:ind w:left="0" w:right="0"/>
        <w:jc w:val="left"/>
      </w:pPr>
      <w:r>
        <w:rPr>
          <w:rFonts w:ascii="Calibri" w:hAnsi="Calibri" w:eastAsia="Calibri" w:cs="Calibri"/>
          <w:color w:val="000000"/>
          <w:sz w:val="22"/>
          <w:szCs w:val="22"/>
        </w:rPr>
        <w:t xml:space="preserve">Cullen J (1995) Lespedeza</w:t>
      </w:r>
      <w:r>
        <w:rPr>
          <w:rFonts w:ascii="Calibri" w:hAnsi="Calibri" w:eastAsia="Calibri" w:cs="Calibri"/>
          <w:i/>
          <w:iCs/>
          <w:color w:val="000000"/>
          <w:sz w:val="22"/>
          <w:szCs w:val="22"/>
        </w:rPr>
        <w:t xml:space="preserve">. European Garden Flora IV</w:t>
      </w:r>
      <w:r>
        <w:rPr>
          <w:rFonts w:ascii="Calibri" w:hAnsi="Calibri" w:eastAsia="Calibri" w:cs="Calibri"/>
          <w:color w:val="000000"/>
          <w:sz w:val="22"/>
          <w:szCs w:val="22"/>
        </w:rPr>
        <w:t xml:space="preserve">, 494–495. </w:t>
      </w:r>
    </w:p>
    <w:p>
      <w:pPr>
        <w:widowControl w:val="on"/>
        <w:pBdr/>
        <w:spacing w:before="220" w:after="220" w:line="240" w:lineRule="auto"/>
        <w:ind w:left="0" w:right="0"/>
        <w:jc w:val="left"/>
      </w:pPr>
      <w:r>
        <w:rPr>
          <w:rFonts w:ascii="Calibri" w:hAnsi="Calibri" w:eastAsia="Calibri" w:cs="Calibri"/>
          <w:color w:val="000000"/>
          <w:sz w:val="22"/>
          <w:szCs w:val="22"/>
        </w:rPr>
        <w:t xml:space="preserve">Dudley DM &amp; Fick WH (2003) Effects of sericea lespedeza residues on selected tallgrass prairie grasses. Transactions of the Kansas Academy of Science 106, 166–170. </w:t>
      </w:r>
    </w:p>
    <w:p>
      <w:pPr>
        <w:widowControl w:val="on"/>
        <w:pBdr/>
        <w:spacing w:before="220" w:after="220" w:line="240" w:lineRule="auto"/>
        <w:ind w:left="0" w:right="0"/>
        <w:jc w:val="left"/>
      </w:pPr>
      <w:r>
        <w:rPr>
          <w:rFonts w:ascii="Calibri" w:hAnsi="Calibri" w:eastAsia="Calibri" w:cs="Calibri"/>
          <w:color w:val="000000"/>
          <w:sz w:val="22"/>
          <w:szCs w:val="22"/>
        </w:rPr>
        <w:t xml:space="preserve">Eddy T &amp; Moore C (1998) Effects of sericea lespedeza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(Dumont) G. Don) invasion on oak savannas in Kansas. </w:t>
      </w:r>
      <w:r>
        <w:rPr>
          <w:rFonts w:ascii="Calibri" w:hAnsi="Calibri" w:eastAsia="Calibri" w:cs="Calibri"/>
          <w:i/>
          <w:iCs/>
          <w:color w:val="000000"/>
          <w:sz w:val="22"/>
          <w:szCs w:val="22"/>
        </w:rPr>
        <w:t xml:space="preserve">Transactions of the Wisconsin Academy of Sciences, Arts, and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57–62.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Lespedeza cuneata</w:t>
      </w:r>
      <w:r>
        <w:rPr>
          <w:rFonts w:ascii="Calibri" w:hAnsi="Calibri" w:eastAsia="Calibri" w:cs="Calibri"/>
          <w:color w:val="000000"/>
          <w:sz w:val="22"/>
          <w:szCs w:val="22"/>
        </w:rPr>
        <w:t xml:space="preserve"> EPPO, Paris. </w:t>
      </w:r>
      <w:hyperlink r:id="rId64926991bc52aa9e1" w:history="1">
        <w:r>
          <w:rPr>
            <w:rFonts w:ascii="Calibri" w:hAnsi="Calibri" w:eastAsia="Calibri" w:cs="Calibri"/>
            <w:color w:val="0000CC"/>
            <w:sz w:val="22"/>
            <w:szCs w:val="22"/>
            <w:u w:val="single"/>
          </w:rPr>
          <w:t xml:space="preserve">https://pra.eppo.int/ </w:t>
        </w:r>
      </w:hyperlink>
      <w:r>
        <w:rPr>
          <w:rFonts w:ascii="Calibri" w:hAnsi="Calibri" w:eastAsia="Calibri" w:cs="Calibri"/>
          <w:color w:val="000000"/>
          <w:sz w:val="22"/>
          <w:szCs w:val="22"/>
        </w:rPr>
        <w:t xml:space="preserve">[accessed 25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Farris RL (2006) </w:t>
      </w:r>
      <w:r>
        <w:rPr>
          <w:rFonts w:ascii="Calibri" w:hAnsi="Calibri" w:eastAsia="Calibri" w:cs="Calibri"/>
          <w:i/>
          <w:iCs/>
          <w:color w:val="000000"/>
          <w:sz w:val="22"/>
          <w:szCs w:val="22"/>
        </w:rPr>
        <w:t xml:space="preserve">Adaptation, biology and control of sericea lespedeza</w:t>
      </w:r>
      <w:r>
        <w:rPr>
          <w:rFonts w:ascii="Calibri" w:hAnsi="Calibri" w:eastAsia="Calibri" w:cs="Calibri"/>
          <w:color w:val="000000"/>
          <w:sz w:val="22"/>
          <w:szCs w:val="22"/>
        </w:rPr>
        <w:t xml:space="preserve"> (Lespedeza cuneata)</w:t>
      </w:r>
      <w:r>
        <w:rPr>
          <w:rFonts w:ascii="Calibri" w:hAnsi="Calibri" w:eastAsia="Calibri" w:cs="Calibri"/>
          <w:i/>
          <w:iCs/>
          <w:color w:val="000000"/>
          <w:sz w:val="22"/>
          <w:szCs w:val="22"/>
        </w:rPr>
        <w:t xml:space="preserve">, an invasive species.</w:t>
      </w:r>
      <w:r>
        <w:rPr>
          <w:rFonts w:ascii="Calibri" w:hAnsi="Calibri" w:eastAsia="Calibri" w:cs="Calibri"/>
          <w:color w:val="000000"/>
          <w:sz w:val="22"/>
          <w:szCs w:val="22"/>
        </w:rPr>
        <w:t xml:space="preserve"> Unpublished dissertation. Oklahoma State University, Stillwater (OK).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(2010). Volume 10 Online: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w:t>
      </w:r>
      <w:hyperlink r:id="rId15176991bc52aaa9f" w:history="1">
        <w:r>
          <w:rPr>
            <w:rFonts w:ascii="Calibri" w:hAnsi="Calibri" w:eastAsia="Calibri" w:cs="Calibri"/>
            <w:color w:val="0000CC"/>
            <w:sz w:val="22"/>
            <w:szCs w:val="22"/>
            <w:u w:val="single"/>
          </w:rPr>
          <w:t xml:space="preserve">http://www.efloras.org/florataxon.aspx?flora_id=2&amp;taxon_id=200012191</w:t>
        </w:r>
      </w:hyperlink>
      <w:r>
        <w:rPr>
          <w:rFonts w:ascii="Calibri" w:hAnsi="Calibri" w:eastAsia="Calibri" w:cs="Calibri"/>
          <w:color w:val="000000"/>
          <w:sz w:val="22"/>
          <w:szCs w:val="22"/>
        </w:rPr>
        <w:t xml:space="preserve"> [accessed on 27 September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Gucker C (2010) (Revised from Munger, G.T. 2004)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In Fire Effects Information System, [Online]. U.S. Department of Agriculture, Forest Service, Rocky Mountain Research Stations, Fire Sciences Laboratory (Producer). </w:t>
      </w:r>
      <w:hyperlink r:id="rId45736991bc52aab1c" w:history="1">
        <w:r>
          <w:rPr>
            <w:rFonts w:ascii="Calibri" w:hAnsi="Calibri" w:eastAsia="Calibri" w:cs="Calibri"/>
            <w:color w:val="0000CC"/>
            <w:sz w:val="22"/>
            <w:szCs w:val="22"/>
            <w:u w:val="single"/>
          </w:rPr>
          <w:t xml:space="preserve">http://www.f s.fed.us/database/feis </w:t>
        </w:r>
      </w:hyperlink>
      <w:r>
        <w:rPr>
          <w:rFonts w:ascii="Calibri" w:hAnsi="Calibri" w:eastAsia="Calibri" w:cs="Calibri"/>
          <w:color w:val="000000"/>
          <w:sz w:val="22"/>
          <w:szCs w:val="22"/>
        </w:rPr>
        <w:t xml:space="preserve">[accessed on 25 September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Guernsey WJ (1977) </w:t>
      </w:r>
      <w:r>
        <w:rPr>
          <w:rFonts w:ascii="Calibri" w:hAnsi="Calibri" w:eastAsia="Calibri" w:cs="Calibri"/>
          <w:i/>
          <w:iCs/>
          <w:color w:val="000000"/>
          <w:sz w:val="22"/>
          <w:szCs w:val="22"/>
        </w:rPr>
        <w:t xml:space="preserve">Sericea lespedeza</w:t>
      </w:r>
      <w:r>
        <w:rPr>
          <w:rFonts w:ascii="Calibri" w:hAnsi="Calibri" w:eastAsia="Calibri" w:cs="Calibri"/>
          <w:color w:val="000000"/>
          <w:sz w:val="22"/>
          <w:szCs w:val="22"/>
        </w:rPr>
        <w:t xml:space="preserve">: its use and management. USDA Farmers’ Bulletin 2245. </w:t>
      </w:r>
    </w:p>
    <w:p>
      <w:pPr>
        <w:widowControl w:val="on"/>
        <w:pBdr/>
        <w:spacing w:before="220" w:after="220" w:line="240" w:lineRule="auto"/>
        <w:ind w:left="0" w:right="0"/>
        <w:jc w:val="left"/>
      </w:pPr>
      <w:r>
        <w:rPr>
          <w:rFonts w:ascii="Calibri" w:hAnsi="Calibri" w:eastAsia="Calibri" w:cs="Calibri"/>
          <w:color w:val="000000"/>
          <w:sz w:val="22"/>
          <w:szCs w:val="22"/>
        </w:rPr>
        <w:t xml:space="preserve">Harden GJ (2001) </w:t>
      </w:r>
      <w:r>
        <w:rPr>
          <w:rFonts w:ascii="Calibri" w:hAnsi="Calibri" w:eastAsia="Calibri" w:cs="Calibri"/>
          <w:i/>
          <w:iCs/>
          <w:color w:val="000000"/>
          <w:sz w:val="22"/>
          <w:szCs w:val="22"/>
        </w:rPr>
        <w:t xml:space="preserve">Flora of New South Wales.</w:t>
      </w:r>
      <w:r>
        <w:rPr>
          <w:rFonts w:ascii="Calibri" w:hAnsi="Calibri" w:eastAsia="Calibri" w:cs="Calibri"/>
          <w:color w:val="000000"/>
          <w:sz w:val="22"/>
          <w:szCs w:val="22"/>
        </w:rPr>
        <w:t xml:space="preserve"> UNSW Press, Sydney (AUS). </w:t>
      </w:r>
    </w:p>
    <w:p>
      <w:pPr>
        <w:widowControl w:val="on"/>
        <w:pBdr/>
        <w:spacing w:before="220" w:after="220" w:line="240" w:lineRule="auto"/>
        <w:ind w:left="0" w:right="0"/>
        <w:jc w:val="left"/>
      </w:pPr>
      <w:r>
        <w:rPr>
          <w:rFonts w:ascii="Calibri" w:hAnsi="Calibri" w:eastAsia="Calibri" w:cs="Calibri"/>
          <w:color w:val="000000"/>
          <w:sz w:val="22"/>
          <w:szCs w:val="22"/>
        </w:rPr>
        <w:t xml:space="preserve">Honu YA, Chandy S &amp; Gibson DJ (2009) Occurrence of non-native species deep in natural areas of the Shawnee National Forest, Southern Illinois, USA. </w:t>
      </w:r>
      <w:r>
        <w:rPr>
          <w:rFonts w:ascii="Calibri" w:hAnsi="Calibri" w:eastAsia="Calibri" w:cs="Calibri"/>
          <w:i/>
          <w:iCs/>
          <w:color w:val="000000"/>
          <w:sz w:val="22"/>
          <w:szCs w:val="22"/>
        </w:rPr>
        <w:t xml:space="preserve">Natural Areas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177–187. </w:t>
      </w:r>
    </w:p>
    <w:p>
      <w:pPr>
        <w:widowControl w:val="on"/>
        <w:pBdr/>
        <w:spacing w:before="220" w:after="220" w:line="240" w:lineRule="auto"/>
        <w:ind w:left="0" w:right="0"/>
        <w:jc w:val="left"/>
      </w:pPr>
      <w:r>
        <w:rPr>
          <w:rFonts w:ascii="Calibri" w:hAnsi="Calibri" w:eastAsia="Calibri" w:cs="Calibri"/>
          <w:color w:val="000000"/>
          <w:sz w:val="22"/>
          <w:szCs w:val="22"/>
        </w:rPr>
        <w:t xml:space="preserve">Houseman GR, Foster BL &amp; Brassil CE (2014) Propagule pressure invasibility relationships: testing the influence of soil fertility and disturbance with</w:t>
      </w:r>
      <w:r>
        <w:rPr>
          <w:rFonts w:ascii="Calibri" w:hAnsi="Calibri" w:eastAsia="Calibri" w:cs="Calibri"/>
          <w:i/>
          <w:iCs/>
          <w:color w:val="000000"/>
          <w:sz w:val="22"/>
          <w:szCs w:val="22"/>
        </w:rPr>
        <w:t xml:space="preserve"> Lespedeza cuneata. Oecologi</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 511–520. </w:t>
      </w:r>
    </w:p>
    <w:p>
      <w:pPr>
        <w:widowControl w:val="on"/>
        <w:pBdr/>
        <w:spacing w:before="220" w:after="220" w:line="240" w:lineRule="auto"/>
        <w:ind w:left="0" w:right="0"/>
        <w:jc w:val="left"/>
      </w:pPr>
      <w:r>
        <w:rPr>
          <w:rFonts w:ascii="Calibri" w:hAnsi="Calibri" w:eastAsia="Calibri" w:cs="Calibri"/>
          <w:color w:val="000000"/>
          <w:sz w:val="22"/>
          <w:szCs w:val="22"/>
        </w:rPr>
        <w:t xml:space="preserve">Hoveland CS, Donnelly ED (1985) The Lespedezas. In: </w:t>
      </w:r>
      <w:r>
        <w:rPr>
          <w:rFonts w:ascii="Calibri" w:hAnsi="Calibri" w:eastAsia="Calibri" w:cs="Calibri"/>
          <w:i/>
          <w:iCs/>
          <w:color w:val="000000"/>
          <w:sz w:val="22"/>
          <w:szCs w:val="22"/>
        </w:rPr>
        <w:t xml:space="preserve">Forages: The Science of Grass Agriculture</w:t>
      </w:r>
      <w:r>
        <w:rPr>
          <w:rFonts w:ascii="Calibri" w:hAnsi="Calibri" w:eastAsia="Calibri" w:cs="Calibri"/>
          <w:color w:val="000000"/>
          <w:sz w:val="22"/>
          <w:szCs w:val="22"/>
        </w:rPr>
        <w:t xml:space="preserve"> (Ed. Heath 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pp. 128–135. Fourth ed. Iowa State Univ. Press, Ames (IA). </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JM (2003)</w:t>
      </w:r>
      <w:r>
        <w:rPr>
          <w:rFonts w:ascii="Calibri" w:hAnsi="Calibri" w:eastAsia="Calibri" w:cs="Calibri"/>
          <w:i/>
          <w:iCs/>
          <w:color w:val="000000"/>
          <w:sz w:val="22"/>
          <w:szCs w:val="22"/>
        </w:rPr>
        <w:t xml:space="preserve"> Sericea lespedeza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invasion: implications for a small mammal community and the influence of local fire history. PhD thesis. Oklahoma State University. </w:t>
      </w:r>
    </w:p>
    <w:p>
      <w:pPr>
        <w:widowControl w:val="on"/>
        <w:pBdr/>
        <w:spacing w:before="220" w:after="220" w:line="240" w:lineRule="auto"/>
        <w:ind w:left="0" w:right="0"/>
        <w:jc w:val="left"/>
      </w:pPr>
      <w:r>
        <w:rPr>
          <w:rFonts w:ascii="Calibri" w:hAnsi="Calibri" w:eastAsia="Calibri" w:cs="Calibri"/>
          <w:color w:val="000000"/>
          <w:sz w:val="22"/>
          <w:szCs w:val="22"/>
        </w:rPr>
        <w:t xml:space="preserve">Min BR, Hart SP, Miller D, Tomita GM, Loetz E &amp; Sahlu T (2005) The effect of grazing forage containing condensed tannins on gastrointestinal parasite infection and milk composition in Angora does. </w:t>
      </w:r>
      <w:r>
        <w:rPr>
          <w:rFonts w:ascii="Calibri" w:hAnsi="Calibri" w:eastAsia="Calibri" w:cs="Calibri"/>
          <w:i/>
          <w:iCs/>
          <w:color w:val="000000"/>
          <w:sz w:val="22"/>
          <w:szCs w:val="22"/>
        </w:rPr>
        <w:t xml:space="preserve">Veterinary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105–113. </w:t>
      </w:r>
    </w:p>
    <w:p>
      <w:pPr>
        <w:widowControl w:val="on"/>
        <w:pBdr/>
        <w:spacing w:before="220" w:after="220" w:line="240" w:lineRule="auto"/>
        <w:ind w:left="0" w:right="0"/>
        <w:jc w:val="left"/>
      </w:pPr>
      <w:r>
        <w:rPr>
          <w:rFonts w:ascii="Calibri" w:hAnsi="Calibri" w:eastAsia="Calibri" w:cs="Calibri"/>
          <w:color w:val="000000"/>
          <w:sz w:val="22"/>
          <w:szCs w:val="22"/>
        </w:rPr>
        <w:t xml:space="preserve">Mosjidis JA (1990) Daylength and temperature effects on emergence and early growth of sericea lespedeza. </w:t>
      </w:r>
      <w:r>
        <w:rPr>
          <w:rFonts w:ascii="Calibri" w:hAnsi="Calibri" w:eastAsia="Calibri" w:cs="Calibri"/>
          <w:i/>
          <w:iCs/>
          <w:color w:val="000000"/>
          <w:sz w:val="22"/>
          <w:szCs w:val="22"/>
        </w:rPr>
        <w:t xml:space="preserve">Agronomy Journal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923– 926. </w:t>
      </w:r>
    </w:p>
    <w:p>
      <w:pPr>
        <w:widowControl w:val="on"/>
        <w:pBdr/>
        <w:spacing w:before="220" w:after="220" w:line="240" w:lineRule="auto"/>
        <w:ind w:left="0" w:right="0"/>
        <w:jc w:val="left"/>
      </w:pPr>
      <w:r>
        <w:rPr>
          <w:rFonts w:ascii="Calibri" w:hAnsi="Calibri" w:eastAsia="Calibri" w:cs="Calibri"/>
          <w:color w:val="000000"/>
          <w:sz w:val="22"/>
          <w:szCs w:val="22"/>
        </w:rPr>
        <w:t xml:space="preserve">Newlon CF, Baskett TS, Breitenbach RP &amp; Stanford JA (1964) Sustaining values of emergency foods for bobwhites.</w:t>
      </w:r>
      <w:r>
        <w:rPr>
          <w:rFonts w:ascii="Calibri" w:hAnsi="Calibri" w:eastAsia="Calibri" w:cs="Calibri"/>
          <w:i/>
          <w:iCs/>
          <w:color w:val="000000"/>
          <w:sz w:val="22"/>
          <w:szCs w:val="22"/>
        </w:rPr>
        <w:t xml:space="preserve"> The Journal of Wildlife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532–542. </w:t>
      </w:r>
    </w:p>
    <w:p>
      <w:pPr>
        <w:widowControl w:val="on"/>
        <w:pBdr/>
        <w:spacing w:before="220" w:after="220" w:line="240" w:lineRule="auto"/>
        <w:ind w:left="0" w:right="0"/>
        <w:jc w:val="left"/>
      </w:pPr>
      <w:r>
        <w:rPr>
          <w:rFonts w:ascii="Calibri" w:hAnsi="Calibri" w:eastAsia="Calibri" w:cs="Calibri"/>
          <w:color w:val="000000"/>
          <w:sz w:val="22"/>
          <w:szCs w:val="22"/>
        </w:rPr>
        <w:t xml:space="preserve">Ohlenbusch PD, Bidwell T, Fick WH, Kilgore G, Scott W, Davidson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r>
        <w:rPr>
          <w:rFonts w:ascii="Calibri" w:hAnsi="Calibri" w:eastAsia="Calibri" w:cs="Calibri"/>
          <w:i/>
          <w:iCs/>
          <w:color w:val="000000"/>
          <w:sz w:val="22"/>
          <w:szCs w:val="22"/>
        </w:rPr>
        <w:t xml:space="preserve"> Sericea lespedeza</w:t>
      </w:r>
      <w:r>
        <w:rPr>
          <w:rFonts w:ascii="Calibri" w:hAnsi="Calibri" w:eastAsia="Calibri" w:cs="Calibri"/>
          <w:color w:val="000000"/>
          <w:sz w:val="22"/>
          <w:szCs w:val="22"/>
        </w:rPr>
        <w:t xml:space="preserve">: history, characteristics, and identification. MF-2408. Agricultural Experiment Station, Cooperative Extension Service, Kansas State University, Manhattan, Kansas, USA.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DC, Brooke JM, Tanner EP, Unger AM, Keyser PD, Harper 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Impact of experimental habitat manipulation on northern bobwhite survival. </w:t>
      </w:r>
      <w:r>
        <w:rPr>
          <w:rFonts w:ascii="Calibri" w:hAnsi="Calibri" w:eastAsia="Calibri" w:cs="Calibri"/>
          <w:i/>
          <w:iCs/>
          <w:color w:val="000000"/>
          <w:sz w:val="22"/>
          <w:szCs w:val="22"/>
        </w:rPr>
        <w:t xml:space="preserve">Journal of Wildlife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605–617. </w:t>
      </w:r>
    </w:p>
    <w:p>
      <w:pPr>
        <w:widowControl w:val="on"/>
        <w:pBdr/>
        <w:spacing w:before="220" w:after="220" w:line="240" w:lineRule="auto"/>
        <w:ind w:left="0" w:right="0"/>
        <w:jc w:val="left"/>
      </w:pPr>
      <w:r>
        <w:rPr>
          <w:rFonts w:ascii="Calibri" w:hAnsi="Calibri" w:eastAsia="Calibri" w:cs="Calibri"/>
          <w:color w:val="000000"/>
          <w:sz w:val="22"/>
          <w:szCs w:val="22"/>
        </w:rPr>
        <w:t xml:space="preserve">Plass WT &amp; Vogel WG (1973) Chemical properties and particle-size distribution of 39 surface-mine spoils in southern West Virginia. USDA Forest Serv. Res. Pap. NE-276. 8 pp. </w:t>
      </w:r>
    </w:p>
    <w:p>
      <w:pPr>
        <w:widowControl w:val="on"/>
        <w:pBdr/>
        <w:spacing w:before="220" w:after="220" w:line="240" w:lineRule="auto"/>
        <w:ind w:left="0" w:right="0"/>
        <w:jc w:val="left"/>
      </w:pPr>
      <w:r>
        <w:rPr>
          <w:rFonts w:ascii="Calibri" w:hAnsi="Calibri" w:eastAsia="Calibri" w:cs="Calibri"/>
          <w:color w:val="000000"/>
          <w:sz w:val="22"/>
          <w:szCs w:val="22"/>
        </w:rPr>
        <w:t xml:space="preserve">Pramanik A &amp; Thothathri K (1983) Notes on the taxonomy, distribution and ecology of </w:t>
      </w:r>
      <w:r>
        <w:rPr>
          <w:rFonts w:ascii="Calibri" w:hAnsi="Calibri" w:eastAsia="Calibri" w:cs="Calibri"/>
          <w:i/>
          <w:iCs/>
          <w:color w:val="000000"/>
          <w:sz w:val="22"/>
          <w:szCs w:val="22"/>
        </w:rPr>
        <w:t xml:space="preserve">Lespedeza juncea</w:t>
      </w:r>
      <w:r>
        <w:rPr>
          <w:rFonts w:ascii="Calibri" w:hAnsi="Calibri" w:eastAsia="Calibri" w:cs="Calibri"/>
          <w:color w:val="000000"/>
          <w:sz w:val="22"/>
          <w:szCs w:val="22"/>
        </w:rPr>
        <w:t xml:space="preserve"> complex with special reference to India. </w:t>
      </w:r>
      <w:r>
        <w:rPr>
          <w:rFonts w:ascii="Calibri" w:hAnsi="Calibri" w:eastAsia="Calibri" w:cs="Calibri"/>
          <w:i/>
          <w:iCs/>
          <w:color w:val="000000"/>
          <w:sz w:val="22"/>
          <w:szCs w:val="22"/>
        </w:rPr>
        <w:t xml:space="preserve">Journal of Japanese Botany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331–337. </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J, Maehr DS, Alexy KJ, Cox JJ, Larkin JL &amp; Reeder BC (2006) Food habits of reintroduced elk in southeastern Kentucky.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535–546. </w:t>
      </w:r>
    </w:p>
    <w:p>
      <w:pPr>
        <w:widowControl w:val="on"/>
        <w:pBdr/>
        <w:spacing w:before="220" w:after="220" w:line="240" w:lineRule="auto"/>
        <w:ind w:left="0" w:right="0"/>
        <w:jc w:val="left"/>
      </w:pPr>
      <w:r>
        <w:rPr>
          <w:rFonts w:ascii="Calibri" w:hAnsi="Calibri" w:eastAsia="Calibri" w:cs="Calibri"/>
          <w:color w:val="000000"/>
          <w:sz w:val="22"/>
          <w:szCs w:val="22"/>
        </w:rPr>
        <w:t xml:space="preserve">Stubbendiek J &amp; Conard EC (1989) </w:t>
      </w:r>
      <w:r>
        <w:rPr>
          <w:rFonts w:ascii="Calibri" w:hAnsi="Calibri" w:eastAsia="Calibri" w:cs="Calibri"/>
          <w:i/>
          <w:iCs/>
          <w:color w:val="000000"/>
          <w:sz w:val="22"/>
          <w:szCs w:val="22"/>
        </w:rPr>
        <w:t xml:space="preserve">Common Legumes of the Great Plains: An Illustrated Guide.</w:t>
      </w:r>
      <w:r>
        <w:rPr>
          <w:rFonts w:ascii="Calibri" w:hAnsi="Calibri" w:eastAsia="Calibri" w:cs="Calibri"/>
          <w:color w:val="000000"/>
          <w:sz w:val="22"/>
          <w:szCs w:val="22"/>
        </w:rPr>
        <w:t xml:space="preserve"> University of Nebraska Press, Lincoln (NE).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 </w:t>
      </w:r>
    </w:p>
    <w:p>
      <w:pPr>
        <w:widowControl w:val="on"/>
        <w:pBdr/>
        <w:spacing w:before="220" w:after="220" w:line="240" w:lineRule="auto"/>
        <w:ind w:left="0" w:right="0"/>
        <w:jc w:val="left"/>
      </w:pPr>
      <w:r>
        <w:rPr>
          <w:rFonts w:ascii="Calibri" w:hAnsi="Calibri" w:eastAsia="Calibri" w:cs="Calibri"/>
          <w:color w:val="000000"/>
          <w:sz w:val="22"/>
          <w:szCs w:val="22"/>
        </w:rPr>
        <w:t xml:space="preserve">Terrill TH, Dykes GS, Shaik SA, Miller JE, Kouakou B, Kannan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Efficacy of sericea lespedeza hay as a natural dewormer in goats: dose titration study. </w:t>
      </w:r>
      <w:r>
        <w:rPr>
          <w:rFonts w:ascii="Calibri" w:hAnsi="Calibri" w:eastAsia="Calibri" w:cs="Calibri"/>
          <w:i/>
          <w:iCs/>
          <w:color w:val="000000"/>
          <w:sz w:val="22"/>
          <w:szCs w:val="22"/>
        </w:rPr>
        <w:t xml:space="preserve">Veterinary Parasitology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52–56. </w:t>
      </w:r>
    </w:p>
    <w:p>
      <w:pPr>
        <w:widowControl w:val="on"/>
        <w:pBdr/>
        <w:spacing w:before="220" w:after="220" w:line="240" w:lineRule="auto"/>
        <w:ind w:left="0" w:right="0"/>
        <w:jc w:val="left"/>
      </w:pPr>
      <w:r>
        <w:rPr>
          <w:rFonts w:ascii="Calibri" w:hAnsi="Calibri" w:eastAsia="Calibri" w:cs="Calibri"/>
          <w:color w:val="000000"/>
          <w:sz w:val="22"/>
          <w:szCs w:val="22"/>
        </w:rPr>
        <w:t xml:space="preserve">Unger AM, Tanner EP, Harper CA, Keyser PD, Van Manen FT, Morgan JJ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Northern bobwhite seasonal habitat selection on a reclaimed surface coal mine in Kentucky. </w:t>
      </w:r>
      <w:r>
        <w:rPr>
          <w:rFonts w:ascii="Calibri" w:hAnsi="Calibri" w:eastAsia="Calibri" w:cs="Calibri"/>
          <w:i/>
          <w:iCs/>
          <w:color w:val="000000"/>
          <w:sz w:val="22"/>
          <w:szCs w:val="22"/>
        </w:rPr>
        <w:t xml:space="preserve">Journal of the Southeastern Association of Fish and Wildlife Agencies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235–246. </w:t>
      </w:r>
    </w:p>
    <w:p>
      <w:pPr>
        <w:widowControl w:val="on"/>
        <w:pBdr/>
        <w:spacing w:before="220" w:after="220" w:line="240" w:lineRule="auto"/>
        <w:ind w:left="0" w:right="0"/>
        <w:jc w:val="left"/>
      </w:pPr>
      <w:r>
        <w:rPr>
          <w:rFonts w:ascii="Calibri" w:hAnsi="Calibri" w:eastAsia="Calibri" w:cs="Calibri"/>
          <w:color w:val="000000"/>
          <w:sz w:val="22"/>
          <w:szCs w:val="22"/>
        </w:rPr>
        <w:t xml:space="preserve">Vogel WG (1981) </w:t>
      </w:r>
      <w:r>
        <w:rPr>
          <w:rFonts w:ascii="Calibri" w:hAnsi="Calibri" w:eastAsia="Calibri" w:cs="Calibri"/>
          <w:i/>
          <w:iCs/>
          <w:color w:val="000000"/>
          <w:sz w:val="22"/>
          <w:szCs w:val="22"/>
        </w:rPr>
        <w:t xml:space="preserve">A guide for revegetating coal mine soils in the eastern United States</w:t>
      </w:r>
      <w:r>
        <w:rPr>
          <w:rFonts w:ascii="Calibri" w:hAnsi="Calibri" w:eastAsia="Calibri" w:cs="Calibri"/>
          <w:color w:val="000000"/>
          <w:sz w:val="22"/>
          <w:szCs w:val="22"/>
        </w:rPr>
        <w:t xml:space="preserve">. Gen. Tech. Rep. NE-68. U.S. Department of Agriculture, Forest Service, Northeastern Forest Experiment Station, Broomall (PA).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(2017)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CABI,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Woods TM, Jonas JL &amp; Ferguson CJ (2012) The invasive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attracts more insect pollinators than native congeners in tallgrass prairie with variable impacts.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1045–1059.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 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for the EPPO region in October 2017. The composition of the EWG was as follows: G. Brundu (University of Sassari, Department of Agriculture, IT), D. Chapman (Centre for Ecology and Hydrology, GB), L. Flory (University of Florida, US), J. Le Roux (Stellenbosch University, ZA), O. Pescott (Centre for Ecology and Hydrology, GB), E. Siemann (Rice University, US), U. Starfinger (Institute for National and International Plant Health, DE) and R. Tanner (EPPO).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EPPO datasheets on pests recommended for regulation. Available online. </w:t>
      </w:r>
      <w:hyperlink r:id="rId48046991bc52ab47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Lespedeza cuneata </w:t>
      </w:r>
      <w:r>
        <w:rPr>
          <w:rFonts w:ascii="Calibri" w:hAnsi="Calibri" w:eastAsia="Calibri" w:cs="Calibri"/>
          <w:color w:val="000000"/>
          <w:sz w:val="22"/>
          <w:szCs w:val="22"/>
        </w:rPr>
        <w:t xml:space="preserve">(Cum.Cours.) G.Don.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(2), 280-284. </w:t>
      </w:r>
      <w:hyperlink r:id="rId40216991bc52ab541" w:history="1">
        <w:r>
          <w:rPr>
            <w:rFonts w:ascii="Calibri" w:hAnsi="Calibri" w:eastAsia="Calibri" w:cs="Calibri"/>
            <w:color w:val="0000CC"/>
            <w:sz w:val="22"/>
            <w:szCs w:val="22"/>
            <w:u w:val="single"/>
          </w:rPr>
          <w:t xml:space="preserve">https://doi.org/10.1111/epp.12529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338267">
    <w:multiLevelType w:val="hybridMultilevel"/>
    <w:lvl w:ilvl="0" w:tplc="39391909">
      <w:start w:val="1"/>
      <w:numFmt w:val="decimal"/>
      <w:lvlText w:val="%1."/>
      <w:lvlJc w:val="left"/>
      <w:pPr>
        <w:ind w:left="720" w:hanging="360"/>
      </w:pPr>
    </w:lvl>
    <w:lvl w:ilvl="1" w:tplc="39391909" w:tentative="1">
      <w:start w:val="1"/>
      <w:numFmt w:val="lowerLetter"/>
      <w:lvlText w:val="%2."/>
      <w:lvlJc w:val="left"/>
      <w:pPr>
        <w:ind w:left="1440" w:hanging="360"/>
      </w:pPr>
    </w:lvl>
    <w:lvl w:ilvl="2" w:tplc="39391909" w:tentative="1">
      <w:start w:val="1"/>
      <w:numFmt w:val="lowerRoman"/>
      <w:lvlText w:val="%3."/>
      <w:lvlJc w:val="right"/>
      <w:pPr>
        <w:ind w:left="2160" w:hanging="180"/>
      </w:pPr>
    </w:lvl>
    <w:lvl w:ilvl="3" w:tplc="39391909" w:tentative="1">
      <w:start w:val="1"/>
      <w:numFmt w:val="decimal"/>
      <w:lvlText w:val="%4."/>
      <w:lvlJc w:val="left"/>
      <w:pPr>
        <w:ind w:left="2880" w:hanging="360"/>
      </w:pPr>
    </w:lvl>
    <w:lvl w:ilvl="4" w:tplc="39391909" w:tentative="1">
      <w:start w:val="1"/>
      <w:numFmt w:val="lowerLetter"/>
      <w:lvlText w:val="%5."/>
      <w:lvlJc w:val="left"/>
      <w:pPr>
        <w:ind w:left="3600" w:hanging="360"/>
      </w:pPr>
    </w:lvl>
    <w:lvl w:ilvl="5" w:tplc="39391909" w:tentative="1">
      <w:start w:val="1"/>
      <w:numFmt w:val="lowerRoman"/>
      <w:lvlText w:val="%6."/>
      <w:lvlJc w:val="right"/>
      <w:pPr>
        <w:ind w:left="4320" w:hanging="180"/>
      </w:pPr>
    </w:lvl>
    <w:lvl w:ilvl="6" w:tplc="39391909" w:tentative="1">
      <w:start w:val="1"/>
      <w:numFmt w:val="decimal"/>
      <w:lvlText w:val="%7."/>
      <w:lvlJc w:val="left"/>
      <w:pPr>
        <w:ind w:left="5040" w:hanging="360"/>
      </w:pPr>
    </w:lvl>
    <w:lvl w:ilvl="7" w:tplc="39391909" w:tentative="1">
      <w:start w:val="1"/>
      <w:numFmt w:val="lowerLetter"/>
      <w:lvlText w:val="%8."/>
      <w:lvlJc w:val="left"/>
      <w:pPr>
        <w:ind w:left="5760" w:hanging="360"/>
      </w:pPr>
    </w:lvl>
    <w:lvl w:ilvl="8" w:tplc="39391909" w:tentative="1">
      <w:start w:val="1"/>
      <w:numFmt w:val="lowerRoman"/>
      <w:lvlText w:val="%9."/>
      <w:lvlJc w:val="right"/>
      <w:pPr>
        <w:ind w:left="6480" w:hanging="180"/>
      </w:pPr>
    </w:lvl>
  </w:abstractNum>
  <w:abstractNum w:abstractNumId="20338266">
    <w:multiLevelType w:val="hybridMultilevel"/>
    <w:lvl w:ilvl="0" w:tplc="489405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338266">
    <w:abstractNumId w:val="20338266"/>
  </w:num>
  <w:num w:numId="20338267">
    <w:abstractNumId w:val="203382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9251228" Type="http://schemas.microsoft.com/office/2011/relationships/commentsExtended" Target="commentsExtended.xml"/><Relationship Id="rId138054689" Type="http://schemas.microsoft.com/office/2011/relationships/people" Target="people.xml"/><Relationship Id="rId90576991bc52a8135" Type="http://schemas.openxmlformats.org/officeDocument/2006/relationships/hyperlink" Target="https://gd.eppo.int/taxon/LESCU/" TargetMode="External"/><Relationship Id="rId42516991bc52a81a3" Type="http://schemas.openxmlformats.org/officeDocument/2006/relationships/hyperlink" Target="https://gd.eppo.int/taxon/LESCU/categorization" TargetMode="External"/><Relationship Id="rId60496991bc52aa43b" Type="http://schemas.openxmlformats.org/officeDocument/2006/relationships/hyperlink" Target="http://www.nda.nebraska.gov/plant/noxious_%20weeds/index.html" TargetMode="External"/><Relationship Id="rId67096991bc52aa45f" Type="http://schemas.openxmlformats.org/officeDocument/2006/relationships/hyperlink" Target="http://gd.eppo.int/(https%3A//plants.usda.gov/" TargetMode="External"/><Relationship Id="rId16546991bc52aa483" Type="http://schemas.openxmlformats.org/officeDocument/2006/relationships/hyperlink" Target="http://www.dec.ny.gov/docs/lands_forests_pdf/islist.pdf" TargetMode="External"/><Relationship Id="rId53996991bc52aa6f1" Type="http://schemas.openxmlformats.org/officeDocument/2006/relationships/hyperlink" Target="https://doi.org/10.1111/epp.12336." TargetMode="External"/><Relationship Id="rId64926991bc52aa9e1" Type="http://schemas.openxmlformats.org/officeDocument/2006/relationships/hyperlink" Target="https://pra.eppo.int/" TargetMode="External"/><Relationship Id="rId15176991bc52aaa9f" Type="http://schemas.openxmlformats.org/officeDocument/2006/relationships/hyperlink" Target="http://www.efloras.org/florataxon.aspx?flora_id=2&amp;taxon_id=200012191" TargetMode="External"/><Relationship Id="rId45736991bc52aab1c" Type="http://schemas.openxmlformats.org/officeDocument/2006/relationships/hyperlink" Target="http://www.f%20s.fed.us/database/feis" TargetMode="External"/><Relationship Id="rId48046991bc52ab477" Type="http://schemas.openxmlformats.org/officeDocument/2006/relationships/hyperlink" Target="https://gd.eppo.int" TargetMode="External"/><Relationship Id="rId40216991bc52ab541" Type="http://schemas.openxmlformats.org/officeDocument/2006/relationships/hyperlink" Target="https://doi.org/10.1111/epp.12529" TargetMode="External"/><Relationship Id="rId10176991bc52a92e1" Type="http://schemas.openxmlformats.org/officeDocument/2006/relationships/image" Target="media/imgrId10176991bc52a92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