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sexdentatus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sexdentatus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(Börner)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pinastri</w:t>
            </w:r>
            <w:r>
              <w:rPr>
                <w:rFonts w:ascii="Calibri" w:hAnsi="Calibri" w:eastAsia="Calibri" w:cs="Calibri"/>
                <w:color w:val="000000"/>
                <w:position w:val="-3"/>
                <w:sz w:val="22"/>
                <w:szCs w:val="22"/>
              </w:rPr>
              <w:t xml:space="preserve"> Bechstein, </w:t>
            </w:r>
            <w:r>
              <w:rPr>
                <w:rFonts w:ascii="Calibri" w:hAnsi="Calibri" w:eastAsia="Calibri" w:cs="Calibri"/>
                <w:i/>
                <w:iCs/>
                <w:color w:val="000000"/>
                <w:position w:val="-3"/>
                <w:sz w:val="22"/>
                <w:szCs w:val="22"/>
              </w:rPr>
              <w:t xml:space="preserve">Bostrichus sexdentatus</w:t>
            </w:r>
            <w:r>
              <w:rPr>
                <w:rFonts w:ascii="Calibri" w:hAnsi="Calibri" w:eastAsia="Calibri" w:cs="Calibri"/>
                <w:color w:val="000000"/>
                <w:position w:val="-3"/>
                <w:sz w:val="22"/>
                <w:szCs w:val="22"/>
              </w:rPr>
              <w:t xml:space="preserve"> (Börner), </w:t>
            </w:r>
            <w:r>
              <w:rPr>
                <w:rFonts w:ascii="Calibri" w:hAnsi="Calibri" w:eastAsia="Calibri" w:cs="Calibri"/>
                <w:i/>
                <w:iCs/>
                <w:color w:val="000000"/>
                <w:position w:val="-3"/>
                <w:sz w:val="22"/>
                <w:szCs w:val="22"/>
              </w:rPr>
              <w:t xml:space="preserve">Dermestes sexdentatus</w:t>
            </w:r>
            <w:r>
              <w:rPr>
                <w:rFonts w:ascii="Calibri" w:hAnsi="Calibri" w:eastAsia="Calibri" w:cs="Calibri"/>
                <w:color w:val="000000"/>
                <w:position w:val="-3"/>
                <w:sz w:val="22"/>
                <w:szCs w:val="22"/>
              </w:rPr>
              <w:t xml:space="preserve"> Börner, </w:t>
            </w:r>
            <w:r>
              <w:rPr>
                <w:rFonts w:ascii="Calibri" w:hAnsi="Calibri" w:eastAsia="Calibri" w:cs="Calibri"/>
                <w:i/>
                <w:iCs/>
                <w:color w:val="000000"/>
                <w:position w:val="-3"/>
                <w:sz w:val="22"/>
                <w:szCs w:val="22"/>
              </w:rPr>
              <w:t xml:space="preserve">Ips stenographus</w:t>
            </w:r>
            <w:r>
              <w:rPr>
                <w:rFonts w:ascii="Calibri" w:hAnsi="Calibri" w:eastAsia="Calibri" w:cs="Calibri"/>
                <w:color w:val="000000"/>
                <w:position w:val="-3"/>
                <w:sz w:val="22"/>
                <w:szCs w:val="22"/>
              </w:rPr>
              <w:t xml:space="preserve"> (Duftschmidt), </w:t>
            </w:r>
            <w:r>
              <w:rPr>
                <w:rFonts w:ascii="Calibri" w:hAnsi="Calibri" w:eastAsia="Calibri" w:cs="Calibri"/>
                <w:i/>
                <w:iCs/>
                <w:color w:val="000000"/>
                <w:position w:val="-3"/>
                <w:sz w:val="22"/>
                <w:szCs w:val="22"/>
              </w:rPr>
              <w:t xml:space="preserve">Tomicus sexdentatus</w:t>
            </w:r>
            <w:r>
              <w:rPr>
                <w:rFonts w:ascii="Calibri" w:hAnsi="Calibri" w:eastAsia="Calibri" w:cs="Calibri"/>
                <w:color w:val="000000"/>
                <w:position w:val="-3"/>
                <w:sz w:val="22"/>
                <w:szCs w:val="22"/>
              </w:rPr>
              <w:t xml:space="preserve"> (Börner), </w:t>
            </w:r>
            <w:r>
              <w:rPr>
                <w:rFonts w:ascii="Calibri" w:hAnsi="Calibri" w:eastAsia="Calibri" w:cs="Calibri"/>
                <w:i/>
                <w:iCs/>
                <w:color w:val="000000"/>
                <w:position w:val="-3"/>
                <w:sz w:val="22"/>
                <w:szCs w:val="22"/>
              </w:rPr>
              <w:t xml:space="preserve">Tomicus stenographus</w:t>
            </w:r>
            <w:r>
              <w:rPr>
                <w:rFonts w:ascii="Calibri" w:hAnsi="Calibri" w:eastAsia="Calibri" w:cs="Calibri"/>
                <w:color w:val="000000"/>
                <w:position w:val="-3"/>
                <w:sz w:val="22"/>
                <w:szCs w:val="22"/>
              </w:rPr>
              <w:t xml:space="preserve"> Duftschmidt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six-toothed bark beetle</w:t>
            </w:r>
            <w:hyperlink r:id="rId42546ab06e231528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60326ab06e23152c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IPSXSE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6891419" name="name70806ab06e2315b2f" descr="15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991.jpg"/>
                          <pic:cNvPicPr/>
                        </pic:nvPicPr>
                        <pic:blipFill>
                          <a:blip r:embed="rId79706ab06e2315b2c" cstate="print"/>
                          <a:stretch>
                            <a:fillRect/>
                          </a:stretch>
                        </pic:blipFill>
                        <pic:spPr>
                          <a:xfrm>
                            <a:off x="0" y="0"/>
                            <a:ext cx="2160000" cy="1281600"/>
                          </a:xfrm>
                          <a:prstGeom prst="rect">
                            <a:avLst/>
                          </a:prstGeom>
                          <a:ln w="0">
                            <a:noFill/>
                          </a:ln>
                        </pic:spPr>
                      </pic:pic>
                    </a:graphicData>
                  </a:graphic>
                </wp:inline>
              </w:drawing>
            </w:r>
            <w:hyperlink r:id="rId11166ab06e2315c40"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attacks mainly pines. In Northern Europe,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found on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in Central and Southern Europe it is also found on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heldreichii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In Turkey, Georgia and Southern Russia, it occurs on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It is occasionally recorded on species of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Asia,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occurs on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and other species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2017;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 subsp. pityusa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heldreichii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salzmannii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peuce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 </w:t>
      </w:r>
      <w:r>
        <w:rPr>
          <w:rFonts w:ascii="Calibri" w:hAnsi="Calibri" w:eastAsia="Calibri" w:cs="Calibri"/>
          <w:color w:val="000000"/>
          <w:sz w:val="22"/>
          <w:szCs w:val="22"/>
        </w:rPr>
        <w:t xml:space="preserve">is widely distributed in European countries, but the pest is absent in Ireland, Cyprus and parts of the United Kingdom (Northern Ireland and the Isle of Man) (Protected Zones). The pest is widely spread in Asia: Russia (Siberia, Far East), China, Japan, Mongolia, Myanmar, Thailand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2017;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26944397" name="name26936ab06e2316e54" descr="IPSXS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SE_distribution_map.jpg"/>
                    <pic:cNvPicPr/>
                  </pic:nvPicPr>
                  <pic:blipFill>
                    <a:blip r:embed="rId78066ab06e2316e5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Austria, Azerbaijan, Belarus, Belgium, Bosnia and Herzegovina, Bulgaria, Croatia, Czechia, Estonia, Finland, France (mainland), Georgia, Germany, Greece (mainland), Hungary, Italy (mainland, Sardegna, Sicilia), Kazakhstan, Latvia, Lithuania, Luxembourg, Moldova, Republic of, Montenegro, Netherlands, North Macedonia, Norway, Poland, Portugal (mainland), Romania, Russian Federation (Central Russia, Eastern Siberia, Far East, Northern Russia, Southern Russia, Western Siberia), Serbia, Slovakia, Slovenia, Spain (mainland), Sweden, Switzerland, Türkiye, Ukraine, United Kingdom (England)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(Hebei, Heilongjiang, Jilin, Shaanxi, Shanxi, Sichuan, Yunnan), Japan, Kazakhstan, Korea, Democratic People's Republic of, Korea, Republic of, Mongolia, Myanmar, Thailand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only one annual generation north of the Arctic Circle, two generations in central areas of Eurasia and up to five generations in the Mediterranean area and in other areas with a long, warm summer season. The spring flight starts when the temperature exceeds about 20°C; in the north this is in May/June, and in more southern areas in March/April. The male beetle initiates the boring and releases an aggregation pheromone consisting mainly of ipsdienol (Vité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After having excavated a nuptial chamber in the phloem, each male is joined by one to five females, which each bore a maternal gallery in the phloem, parallel to the fibres. Single eggs are laid at regular intervals along these galleries. After oviposition, the parent adults re-emerge and often establish sister broods either on the same tree or on a new host-tree. Each larva excavates an individual gallery perpendicular to the maternal gallery. Pupation occurs in a small niche in the phloem, at the end of the larval gallery. Productivity varies between Pineau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Brood development from the start of gallery construction until 1 and 60 offspring per female and is inversely correlated to attack density (the emergence of the new generation adults may take 2-3 weeks at a constant laboratory temperature of 27°C and 3-4 weeks at 22°C. No gallery construction and brood production is observed a constant temperature of 12°C.  Overwintering takes place as adults under the bark, in stump cracks or in forest litter. The supercooling point in hibernating adults is about -19°C, whereas in larvae it is only -9°C (Bakke, 1968). Pathogenic ophiostomatoid fungi may be carried by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beetles, some of them in pit mycangia on the body (Levieux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are inoculated to the host tree (Kirisits, 2004; Romon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Bueno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Jankowiak, 2012). They cause blue staining of the wood and some of them can contribute to tree death.  A general description of the biology and ecology of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provided by Chararas (1962), Bakke (1968) and Levieux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as cited in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Reproduction occurs under thick bark on plant hosts. The gallery system has two to four female galleries up to about 1 m in length, half running in one direction half running in the opposite direction. Larval galleries are 8-10 cm long. The wood under the gallery is stained blue from fungi transferred by the beetles (Chararas, 1962). As in the case of other conifer bark beetles,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acts as a vector for a bluestain fungus (</w:t>
      </w:r>
      <w:r>
        <w:rPr>
          <w:rFonts w:ascii="Calibri" w:hAnsi="Calibri" w:eastAsia="Calibri" w:cs="Calibri"/>
          <w:i/>
          <w:iCs/>
          <w:color w:val="000000"/>
          <w:sz w:val="22"/>
          <w:szCs w:val="22"/>
        </w:rPr>
        <w:t xml:space="preserve">Ophiostoma brunneo-ciliatum</w:t>
      </w:r>
      <w:r>
        <w:rPr>
          <w:rFonts w:ascii="Calibri" w:hAnsi="Calibri" w:eastAsia="Calibri" w:cs="Calibri"/>
          <w:color w:val="000000"/>
          <w:sz w:val="22"/>
          <w:szCs w:val="22"/>
        </w:rPr>
        <w:t xml:space="preserve">) which also damages the tree (Lieutier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the largest beetle of the genus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at 6-8 mm in length. The adults are dark brown or black and cylindrical. Both sexes have six spines at each side of the elytral declivity. The fourth spine is the largest and is capitate. Only the female has a longitudinal stridulatory organ on the upper hind part of the head. The larvae are legless, with a dark amber cephalic capsule (Balachowsky, 1949; Chararas, 1962; Grüne, 1979;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can be detected by visual examination, often after damage symptoms are seen, and by pheromone trapping. The species can be identified by examining morphological features, for which taxonomic keys exist, e.g. Grune (1979); Schedl (1981); Wood (1982);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standing trees attacked by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die during the colonisation process, with an obvious discolouration of their crown, which becomes brown and then grey after the needles have shed. During the attacks, brown sawdust is expelled from the entry holes and, when the broods have metamorphosed and the young adults start feeding on the phloem around the galleries, the bark can flake off. This phenomenon can be amplified by the action of woodpeckers. Within and under the phloem, maternal galleries, parallel to the fibres and up to 50 cm long, and transversal larval galleries can be seen. Pheromone lures and traps are commercially available for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but, because of the large dispersal capacity of the pest, trap catches do not necessarily reflect correctly local establishment. The sapwood of trees shows blue staining due to the fungi introduced by the beetles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Jactel &amp; Gaillard (1991) found, for example, that in a sample of 38 beetles, 98% could fly &gt;5 km, 50% &gt;20 km and 10% &gt;45 km. The speed of flight was constant and equalled 1.3 m/s. In the field, however, flight has only been observed to take place over limited distances and then usually downwind. Beetles have been found in the stomach of trout in lakes 35 km from the nearest spruce forest, probably carried by the wind (Nilssen, 1978). Dispersal over longer distances occurs via transportation of the pest under the bark of wood commodities.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of low significance as a pest in Northern and Central Europe. In Europe,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preferentially colonise weakened pines, cut logs or wind-felled trees, trees affected by forest fires or drought-stressed trees (EFSA, 2017). The infestation by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suffering from drought stress in Central and Southern France, Northern Spain and Portugal, has resulted in pine death (Goix, 1977; Perrot, 1977; Lieutier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Ferreira &amp; Ferreira, 1986; Lieutier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Paiva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Cobos-Suarez &amp; Ruiz-Urrestarazu, 1990).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often attacks trees together with other pests (</w:t>
      </w:r>
      <w:r>
        <w:rPr>
          <w:rFonts w:ascii="Calibri" w:hAnsi="Calibri" w:eastAsia="Calibri" w:cs="Calibri"/>
          <w:i/>
          <w:iCs/>
          <w:color w:val="000000"/>
          <w:sz w:val="22"/>
          <w:szCs w:val="22"/>
        </w:rPr>
        <w:t xml:space="preserve">Ips</w:t>
      </w:r>
      <w:r>
        <w:rPr>
          <w:rFonts w:ascii="Calibri" w:hAnsi="Calibri" w:eastAsia="Calibri" w:cs="Calibri"/>
          <w:i/>
          <w:iCs/>
          <w:color w:val="000000"/>
          <w:sz w:val="22"/>
          <w:szCs w:val="22"/>
        </w:rPr>
        <w:t xml:space="preserve"> acuminatus, Tomicus piniperda</w:t>
      </w:r>
      <w:r>
        <w:rPr>
          <w:rFonts w:ascii="Calibri" w:hAnsi="Calibri" w:eastAsia="Calibri" w:cs="Calibri"/>
          <w:color w:val="000000"/>
          <w:sz w:val="22"/>
          <w:szCs w:val="22"/>
        </w:rPr>
        <w:t xml:space="preserve">).  The pest carries pathogenic ophiostomatoid fungi. These cause blue staining of the wood and some of them can contribute to tree death. However,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can also attack living trees when population levels are high (Rossi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Pineau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Turkey and Georgia,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a major primary pest of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attacking living trees (Schimitschek, 1939; Lozovoj, 1966; Ozcan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European Russia,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often associated with pine plantations of 50-100 years old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for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are similar to those used for the control of other bark beetle species. The most effective measure is to remove infested trees from the forest before the new generation of adult beetles emerges. Sanitation felling of infested trees involves the harvesting of windthrown trees (to remove breeding substrates), as well as the felling of infested standing trees. In order to prevent the further development of bark beetles (pupae or young adults inside the bark) the immediate debarking of logs is recommended, followed by the destruction, processing or composting of the bark. Pheromone mass-trapping can also be implemented locally. Quarantine measures should be implemented to prevent entry into the zones, where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absent. The main pathways of entry are: wood commodities of plant hosts, bark and wood packaging material (including dunnage) from countries where the pest occurs.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not recommended for regulation as a quarantine pest by EPPO. It is not generally a primary pest and is only capable of attacking trees already suffering stress, either environmental or from other pests. It is already very widespread in Europe. It is a protected zone quarantine pest in Ireland and Cyprus under the EU regulations (EPPO GD, online, accessed in 2021; EFSA, 2017) and it had the same status in the United Kingdom (for Northern Ireland and Isle of Man) until the end of 2020. These are the principal areas facing a certain risk from this pest.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unlikely to spread to these areas naturally, therefore phytosanitary measures could be justified. However, it should be stressed that </w:t>
      </w:r>
      <w:r>
        <w:rPr>
          <w:rFonts w:ascii="Calibri" w:hAnsi="Calibri" w:eastAsia="Calibri" w:cs="Calibri"/>
          <w:i/>
          <w:iCs/>
          <w:color w:val="000000"/>
          <w:sz w:val="22"/>
          <w:szCs w:val="22"/>
        </w:rPr>
        <w:t xml:space="preserve">I. sexdentatus </w:t>
      </w:r>
      <w:r>
        <w:rPr>
          <w:rFonts w:ascii="Calibri" w:hAnsi="Calibri" w:eastAsia="Calibri" w:cs="Calibri"/>
          <w:color w:val="000000"/>
          <w:sz w:val="22"/>
          <w:szCs w:val="22"/>
        </w:rPr>
        <w:t xml:space="preserve">is a much less important pest than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(EPPO/CABI, 1996), and presents a much lower risk than that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Wood commodities, bark and wood packaging material are considered as pathways for this pest, which is also able to disperse by flight over tens of kilometres.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are regularly intercepted on wood, wood packaging material and dunnage. During the period from 1985–2000, among the 2 740 Scolytinae intercepted at the US ports of entry and identified to species, 157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were found (Haack, 2001). In the Europhyt database, there are in total 66 interceptions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in the EU countries (in 1994–2017), all on coniferous wood or wood packaging material. For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there were two records of interceptions, one from Bulgaria on coniferous wood and one from Ukraine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wood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If it is judged necessary to take phytosanitary measures against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measures equivalent to those taken against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would be effective. The following phytosanitary measures recommended by the EPPO Standard PM 8/2 (3) ‘Coniferae’ (EPPO, 2018) are considered to be effective against bark beetles including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from countries in which this pest is present should originate from a pest-free area. If not, the following phytosanitary measures are required to import round wood from the area where the pest is present: wood should be bark-free or heat-treated (EPPO, 2009a), or fumigated with an appropriate fumigant, or treated with ionizing radiation (EPPO, 2009b). Harvesting wood residues, processing wood residues, hogwood and wood chips of the host should be produced from debarked wood or heat-treated. The heat treatment is also required for import of isolated bark. Wood packaging materials should meet requirements of ISPM no. 15 (IРРС, 2018). When wood with bark is moved in international trade, it should be stored and transported through the pest-free areas, or outside of the pest flight period, or to be in closed containers to prevent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(1968) Ecological studies on bark beetles (Coleoptera: Scolytidae) associated with Scots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in Norway with particular reference to the influence of temperature. </w:t>
      </w:r>
      <w:r>
        <w:rPr>
          <w:rFonts w:ascii="Calibri" w:hAnsi="Calibri" w:eastAsia="Calibri" w:cs="Calibri"/>
          <w:i/>
          <w:iCs/>
          <w:color w:val="000000"/>
          <w:sz w:val="22"/>
          <w:szCs w:val="22"/>
        </w:rPr>
        <w:t xml:space="preserve">Meddelelser fra Det Norske Skogforsöksvesen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441-602.</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Coleoptera, Scolytides.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Bueno A, Diez JJ &amp; Fernandez MM (2010) Ophiostomatoid Fungi Transported by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(Coleoptera, Scolytidae) in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in NW Spain. </w:t>
      </w:r>
      <w:r>
        <w:rPr>
          <w:rFonts w:ascii="Calibri" w:hAnsi="Calibri" w:eastAsia="Calibri" w:cs="Calibri"/>
          <w:i/>
          <w:iCs/>
          <w:color w:val="000000"/>
          <w:sz w:val="22"/>
          <w:szCs w:val="22"/>
        </w:rPr>
        <w:t xml:space="preserve">Silva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387–397.</w:t>
      </w:r>
    </w:p>
    <w:p>
      <w:pPr>
        <w:widowControl w:val="on"/>
        <w:pBdr/>
        <w:spacing w:before="220" w:after="220" w:line="240" w:lineRule="auto"/>
        <w:ind w:left="0" w:right="0"/>
        <w:jc w:val="left"/>
      </w:pPr>
      <w:r>
        <w:rPr>
          <w:rFonts w:ascii="Calibri" w:hAnsi="Calibri" w:eastAsia="Calibri" w:cs="Calibri"/>
          <w:color w:val="000000"/>
          <w:sz w:val="22"/>
          <w:szCs w:val="22"/>
        </w:rPr>
        <w:t xml:space="preserve">Chararas C (1962) [A biological study of the scolytids of coniferous trees]. </w:t>
      </w:r>
      <w:r>
        <w:rPr>
          <w:rFonts w:ascii="Calibri" w:hAnsi="Calibri" w:eastAsia="Calibri" w:cs="Calibri"/>
          <w:i/>
          <w:iCs/>
          <w:color w:val="000000"/>
          <w:sz w:val="22"/>
          <w:szCs w:val="22"/>
        </w:rPr>
        <w:t xml:space="preserve"> Encyclopédie Entomologique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38 </w:t>
      </w:r>
      <w:r>
        <w:rPr>
          <w:rFonts w:ascii="Calibri" w:hAnsi="Calibri" w:eastAsia="Calibri" w:cs="Calibri"/>
          <w:color w:val="000000"/>
          <w:sz w:val="22"/>
          <w:szCs w:val="22"/>
        </w:rPr>
        <w:t xml:space="preserve">(In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Cobos-Suarez JM &amp; Ruiz-Urrestarazu MM (1990) [Phytosanitary problems of the species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in Spain, with special reference to the Basque country].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37-53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AI, Grebennikov V &amp; Savard K (2019) Dichotomous and matrix-based keys to the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bark beetles of the World (Coleoptera: Curculionidae: Scolytinae). </w:t>
      </w:r>
      <w:r>
        <w:rPr>
          <w:rFonts w:ascii="Calibri" w:hAnsi="Calibri" w:eastAsia="Calibri" w:cs="Calibri"/>
          <w:i/>
          <w:iCs/>
          <w:color w:val="000000"/>
          <w:sz w:val="22"/>
          <w:szCs w:val="22"/>
        </w:rPr>
        <w:t xml:space="preserve">Canadian Journal of Arthropod Identification. </w:t>
      </w:r>
      <w:hyperlink r:id="rId38846ab06e2317d47" w:history="1">
        <w:r>
          <w:rPr>
            <w:rFonts w:ascii="Calibri" w:hAnsi="Calibri" w:eastAsia="Calibri" w:cs="Calibri"/>
            <w:color w:val="0000CC"/>
            <w:sz w:val="22"/>
            <w:szCs w:val="22"/>
            <w:u w:val="single"/>
          </w:rPr>
          <w:t xml:space="preserve">http://cjai.biologicalsurvey.ca/dcgs_38/dcgs_38.html</w:t>
        </w:r>
      </w:hyperlink>
      <w:r>
        <w:rPr>
          <w:rFonts w:ascii="Calibri" w:hAnsi="Calibri" w:eastAsia="Calibri" w:cs="Calibri"/>
          <w:color w:val="000000"/>
          <w:sz w:val="22"/>
          <w:szCs w:val="22"/>
        </w:rPr>
        <w:t xml:space="preserve"> [accessed on 22 February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(2017) (EFSA Panel on Plant Health), Jeger M, Bragard C, Caffier D, Candresse T, Chatzivassiliou E, Dehnen-Schmutz K, Gilioli G, Jaques Miret JA, MacLeod A, Navajas Navarro M, Niere B, Parnell S, Potting R, Rafoss T, Rossi V, Urek G, Van Bruggen A, Van der Werf W, West J, Winter S, Kertesz V, Aukhojee M &amp; and Gregoire J-C. Scientific Opinion on the pest categorisation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28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(eds. Smith I, McNamara D, Scott P &amp;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48 </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Ferreira MC &amp; Ferreira GWS (1986) [Pests of maritime pine in Portugal - scolytids]. </w:t>
      </w:r>
      <w:r>
        <w:rPr>
          <w:rFonts w:ascii="Calibri" w:hAnsi="Calibri" w:eastAsia="Calibri" w:cs="Calibri"/>
          <w:i/>
          <w:iCs/>
          <w:color w:val="000000"/>
          <w:sz w:val="22"/>
          <w:szCs w:val="22"/>
        </w:rPr>
        <w:t xml:space="preserve">Boletim Agricola</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Goix J (1977) Le dépérissement des pins dans la région 'Centre'.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290</w:t>
      </w:r>
      <w:r>
        <w:rPr>
          <w:rFonts w:ascii="Calibri" w:hAnsi="Calibri" w:eastAsia="Calibri" w:cs="Calibri"/>
          <w:color w:val="000000"/>
          <w:sz w:val="22"/>
          <w:szCs w:val="22"/>
        </w:rPr>
        <w:t xml:space="preserve">, 18-21.</w:t>
      </w:r>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Brief illustrated key to European bark beetles. M. &amp; H. Schaper, Hannover, Germany, 182 pp.</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(2001) Intercepted Scolytidae (Coleoptera) at US ports of entry: 1985–2000. </w:t>
      </w:r>
      <w:r>
        <w:rPr>
          <w:rFonts w:ascii="Calibri" w:hAnsi="Calibri" w:eastAsia="Calibri" w:cs="Calibri"/>
          <w:i/>
          <w:iCs/>
          <w:color w:val="000000"/>
          <w:sz w:val="22"/>
          <w:szCs w:val="22"/>
        </w:rPr>
        <w:t xml:space="preserve">Integrated Pest </w:t>
      </w:r>
      <w:r>
        <w:rPr>
          <w:rFonts w:ascii="Calibri" w:hAnsi="Calibri" w:eastAsia="Calibri" w:cs="Calibri"/>
          <w:i/>
          <w:iCs/>
          <w:color w:val="000000"/>
          <w:sz w:val="22"/>
          <w:szCs w:val="22"/>
        </w:rPr>
        <w:t xml:space="preserve">Management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253–282.</w:t>
      </w:r>
    </w:p>
    <w:p>
      <w:pPr>
        <w:widowControl w:val="on"/>
        <w:pBdr/>
        <w:spacing w:before="220" w:after="220" w:line="240" w:lineRule="auto"/>
        <w:ind w:left="0" w:right="0"/>
        <w:jc w:val="left"/>
      </w:pPr>
      <w:r>
        <w:rPr>
          <w:rFonts w:ascii="Calibri" w:hAnsi="Calibri" w:eastAsia="Calibri" w:cs="Calibri"/>
          <w:color w:val="000000"/>
          <w:sz w:val="22"/>
          <w:szCs w:val="22"/>
        </w:rPr>
        <w:t xml:space="preserve">IРРС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Izhevsky SS, Nikitsky NB, Volkov OG &amp; Dolgin MM (2005) [</w:t>
      </w:r>
      <w:r>
        <w:rPr>
          <w:rFonts w:ascii="Calibri" w:hAnsi="Calibri" w:eastAsia="Calibri" w:cs="Calibri"/>
          <w:i/>
          <w:iCs/>
          <w:color w:val="000000"/>
          <w:sz w:val="22"/>
          <w:szCs w:val="22"/>
        </w:rPr>
        <w:t xml:space="preserve">Illustrated guide to coleopteran - xylophagous pests of forests and timber of Russia</w:t>
      </w:r>
      <w:r>
        <w:rPr>
          <w:rFonts w:ascii="Calibri" w:hAnsi="Calibri" w:eastAsia="Calibri" w:cs="Calibri"/>
          <w:color w:val="000000"/>
          <w:sz w:val="22"/>
          <w:szCs w:val="22"/>
        </w:rPr>
        <w:t xml:space="preserve">], Grif and C</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 Tula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and Gaillard J (1991) A preliminary study of the dispersal potential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with an automatically recording flight mill.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138-145.</w:t>
      </w:r>
    </w:p>
    <w:p>
      <w:pPr>
        <w:widowControl w:val="on"/>
        <w:pBdr/>
        <w:spacing w:before="220" w:after="220" w:line="240" w:lineRule="auto"/>
        <w:ind w:left="0" w:right="0"/>
        <w:jc w:val="left"/>
      </w:pPr>
      <w:r>
        <w:rPr>
          <w:rFonts w:ascii="Calibri" w:hAnsi="Calibri" w:eastAsia="Calibri" w:cs="Calibri"/>
          <w:color w:val="000000"/>
          <w:sz w:val="22"/>
          <w:szCs w:val="22"/>
        </w:rPr>
        <w:t xml:space="preserve">Jankowiak R (2012) Ophiostomatoid fungi associated with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sylvestris </w:t>
      </w:r>
      <w:r>
        <w:rPr>
          <w:rFonts w:ascii="Calibri" w:hAnsi="Calibri" w:eastAsia="Calibri" w:cs="Calibri"/>
          <w:color w:val="000000"/>
          <w:sz w:val="22"/>
          <w:szCs w:val="22"/>
        </w:rPr>
        <w:t xml:space="preserve">in Poland. </w:t>
      </w:r>
      <w:r>
        <w:rPr>
          <w:rFonts w:ascii="Calibri" w:hAnsi="Calibri" w:eastAsia="Calibri" w:cs="Calibri"/>
          <w:i/>
          <w:iCs/>
          <w:color w:val="000000"/>
          <w:sz w:val="22"/>
          <w:szCs w:val="22"/>
        </w:rPr>
        <w:t xml:space="preserve">Dendrobiology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43–53.</w:t>
      </w:r>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w:t>
      </w:r>
      <w:r>
        <w:rPr>
          <w:rFonts w:ascii="Calibri" w:hAnsi="Calibri" w:eastAsia="Calibri" w:cs="Calibri"/>
          <w:i/>
          <w:iCs/>
          <w:color w:val="000000"/>
          <w:sz w:val="22"/>
          <w:szCs w:val="22"/>
        </w:rPr>
        <w:t xml:space="preserve"> Bark and wood boring insects in living trees in Europe, a synthesis</w:t>
      </w:r>
      <w:r>
        <w:rPr>
          <w:rFonts w:ascii="Calibri" w:hAnsi="Calibri" w:eastAsia="Calibri" w:cs="Calibri"/>
          <w:color w:val="000000"/>
          <w:sz w:val="22"/>
          <w:szCs w:val="22"/>
        </w:rPr>
        <w:t xml:space="preserve"> (eds. Lieutier F, Day KR, Battisti A, Gregoire JC &amp; Evans HF), pp. 181–236. Springer (NL)</w:t>
      </w:r>
    </w:p>
    <w:p>
      <w:pPr>
        <w:widowControl w:val="on"/>
        <w:pBdr/>
        <w:spacing w:before="220" w:after="220" w:line="240" w:lineRule="auto"/>
        <w:ind w:left="0" w:right="0"/>
        <w:jc w:val="left"/>
      </w:pPr>
      <w:r>
        <w:rPr>
          <w:rFonts w:ascii="Calibri" w:hAnsi="Calibri" w:eastAsia="Calibri" w:cs="Calibri"/>
          <w:color w:val="000000"/>
          <w:sz w:val="22"/>
          <w:szCs w:val="22"/>
        </w:rPr>
        <w:t xml:space="preserve">Lieutier F (1984) Impact économique des scolytides: voies de recherches. </w:t>
      </w:r>
      <w:r>
        <w:rPr>
          <w:rFonts w:ascii="Calibri" w:hAnsi="Calibri" w:eastAsia="Calibri" w:cs="Calibri"/>
          <w:i/>
          <w:iCs/>
          <w:color w:val="000000"/>
          <w:sz w:val="22"/>
          <w:szCs w:val="22"/>
        </w:rPr>
        <w:t xml:space="preserve">Comptes Rendus des Séances de l'Académie d'Agriculture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835-843.</w:t>
      </w:r>
    </w:p>
    <w:p>
      <w:pPr>
        <w:widowControl w:val="on"/>
        <w:pBdr/>
        <w:spacing w:before="220" w:after="220" w:line="240" w:lineRule="auto"/>
        <w:ind w:left="0" w:right="0"/>
        <w:jc w:val="left"/>
      </w:pPr>
      <w:r>
        <w:rPr>
          <w:rFonts w:ascii="Calibri" w:hAnsi="Calibri" w:eastAsia="Calibri" w:cs="Calibri"/>
          <w:color w:val="000000"/>
          <w:sz w:val="22"/>
          <w:szCs w:val="22"/>
        </w:rPr>
        <w:t xml:space="preserve">Lieutier F, Cheniclet C &amp; Garcia J (1989) Comparison of the defense reactions of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to attacks by two bark beetles (Coleoptera: Scolytidae) and their associated fungi. </w:t>
      </w:r>
      <w:r>
        <w:rPr>
          <w:rFonts w:ascii="Calibri" w:hAnsi="Calibri" w:eastAsia="Calibri" w:cs="Calibri"/>
          <w:i/>
          <w:iCs/>
          <w:color w:val="000000"/>
          <w:sz w:val="22"/>
          <w:szCs w:val="22"/>
        </w:rPr>
        <w:t xml:space="preserve">Environmental-Entomology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228-234.</w:t>
      </w:r>
    </w:p>
    <w:p>
      <w:pPr>
        <w:widowControl w:val="on"/>
        <w:pBdr/>
        <w:spacing w:before="220" w:after="220" w:line="240" w:lineRule="auto"/>
        <w:ind w:left="0" w:right="0"/>
        <w:jc w:val="left"/>
      </w:pPr>
      <w:r>
        <w:rPr>
          <w:rFonts w:ascii="Calibri" w:hAnsi="Calibri" w:eastAsia="Calibri" w:cs="Calibri"/>
          <w:color w:val="000000"/>
          <w:sz w:val="22"/>
          <w:szCs w:val="22"/>
        </w:rPr>
        <w:t xml:space="preserve">Lieutier F, Faure T &amp; Garcia J (1988) Les attaques de scolytes et le dépérissement du pin sylvestre dans la région Provence-Côte d ’Azur.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224–232.</w:t>
      </w:r>
    </w:p>
    <w:p>
      <w:pPr>
        <w:widowControl w:val="on"/>
        <w:pBdr/>
        <w:spacing w:before="220" w:after="220" w:line="240" w:lineRule="auto"/>
        <w:ind w:left="0" w:right="0"/>
        <w:jc w:val="left"/>
      </w:pPr>
      <w:r>
        <w:rPr>
          <w:rFonts w:ascii="Calibri" w:hAnsi="Calibri" w:eastAsia="Calibri" w:cs="Calibri"/>
          <w:color w:val="000000"/>
          <w:sz w:val="22"/>
          <w:szCs w:val="22"/>
        </w:rPr>
        <w:t xml:space="preserve">Levieux J, Cassier P, Guillaumin D &amp; Roques A (1991) Structures implicated in the transportation of pathogenic fungi by the European bark beetle,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Boerner – ultrastructure of a mycangium.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245–254. </w:t>
      </w:r>
    </w:p>
    <w:p>
      <w:pPr>
        <w:widowControl w:val="on"/>
        <w:pBdr/>
        <w:spacing w:before="220" w:after="220" w:line="240" w:lineRule="auto"/>
        <w:ind w:left="0" w:right="0"/>
        <w:jc w:val="left"/>
      </w:pPr>
      <w:r>
        <w:rPr>
          <w:rFonts w:ascii="Calibri" w:hAnsi="Calibri" w:eastAsia="Calibri" w:cs="Calibri"/>
          <w:color w:val="000000"/>
          <w:sz w:val="22"/>
          <w:szCs w:val="22"/>
        </w:rPr>
        <w:t xml:space="preserve">Levieux J, Lieutier F &amp; Delplanque A (1985) Les Scolytes ravageurs du Pin sylvestre. </w:t>
      </w:r>
      <w:r>
        <w:rPr>
          <w:rFonts w:ascii="Calibri" w:hAnsi="Calibri" w:eastAsia="Calibri" w:cs="Calibri"/>
          <w:i/>
          <w:iCs/>
          <w:color w:val="000000"/>
          <w:sz w:val="22"/>
          <w:szCs w:val="22"/>
        </w:rPr>
        <w:t xml:space="preserve">Revue Forestiere Francaise,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431–440.</w:t>
      </w:r>
    </w:p>
    <w:p>
      <w:pPr>
        <w:widowControl w:val="on"/>
        <w:pBdr/>
        <w:spacing w:before="220" w:after="220" w:line="240" w:lineRule="auto"/>
        <w:ind w:left="0" w:right="0"/>
        <w:jc w:val="left"/>
      </w:pPr>
      <w:r>
        <w:rPr>
          <w:rFonts w:ascii="Calibri" w:hAnsi="Calibri" w:eastAsia="Calibri" w:cs="Calibri"/>
          <w:color w:val="000000"/>
          <w:sz w:val="22"/>
          <w:szCs w:val="22"/>
        </w:rPr>
        <w:t xml:space="preserve">Lozovoj DI (1966) [Economically important species of bark beetles in the conifer (Spruce) stands of Soviet Georgia, and their control]. From CAB Direct. </w:t>
      </w:r>
      <w:hyperlink r:id="rId53586ab06e23184e5" w:history="1">
        <w:r>
          <w:rPr>
            <w:rFonts w:ascii="Calibri" w:hAnsi="Calibri" w:eastAsia="Calibri" w:cs="Calibri"/>
            <w:color w:val="0000CC"/>
            <w:sz w:val="22"/>
            <w:szCs w:val="22"/>
            <w:u w:val="single"/>
          </w:rPr>
          <w:t xml:space="preserve">https://www.cabdirect.org/cabdirect/abstract/19660601005</w:t>
        </w:r>
      </w:hyperlink>
      <w:r>
        <w:rPr>
          <w:rFonts w:ascii="Calibri" w:hAnsi="Calibri" w:eastAsia="Calibri" w:cs="Calibri"/>
          <w:color w:val="000000"/>
          <w:sz w:val="22"/>
          <w:szCs w:val="22"/>
        </w:rPr>
        <w:t xml:space="preserve"> [Accessed: 14 June 2017]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Ozcan GE, Eroglu M &amp; Akinci HA (2011) Use of pheromone-baited traps for monitoring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(Boerner) (Coleoptera: Curculionidae) in oriental spruce stands. </w:t>
      </w:r>
      <w:r>
        <w:rPr>
          <w:rFonts w:ascii="Calibri" w:hAnsi="Calibri" w:eastAsia="Calibri" w:cs="Calibri"/>
          <w:i/>
          <w:iCs/>
          <w:color w:val="000000"/>
          <w:sz w:val="22"/>
          <w:szCs w:val="22"/>
        </w:rPr>
        <w:t xml:space="preserve">African 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351-360. </w:t>
      </w:r>
    </w:p>
    <w:p>
      <w:pPr>
        <w:widowControl w:val="on"/>
        <w:pBdr/>
        <w:spacing w:before="220" w:after="220" w:line="240" w:lineRule="auto"/>
        <w:ind w:left="0" w:right="0"/>
        <w:jc w:val="left"/>
      </w:pPr>
      <w:r>
        <w:rPr>
          <w:rFonts w:ascii="Calibri" w:hAnsi="Calibri" w:eastAsia="Calibri" w:cs="Calibri"/>
          <w:color w:val="000000"/>
          <w:sz w:val="22"/>
          <w:szCs w:val="22"/>
        </w:rPr>
        <w:t xml:space="preserve">Paiva MR, Pessoa MF &amp; Vité JP (1988) Reduction in the pheromone attractant response of </w:t>
      </w:r>
      <w:r>
        <w:rPr>
          <w:rFonts w:ascii="Calibri" w:hAnsi="Calibri" w:eastAsia="Calibri" w:cs="Calibri"/>
          <w:i/>
          <w:iCs/>
          <w:color w:val="000000"/>
          <w:sz w:val="22"/>
          <w:szCs w:val="22"/>
        </w:rPr>
        <w:t xml:space="preserve">Orthotomicus erosus</w:t>
      </w:r>
      <w:r>
        <w:rPr>
          <w:rFonts w:ascii="Calibri" w:hAnsi="Calibri" w:eastAsia="Calibri" w:cs="Calibri"/>
          <w:color w:val="000000"/>
          <w:sz w:val="22"/>
          <w:szCs w:val="22"/>
        </w:rPr>
        <w:t xml:space="preserve"> (Woll.) and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Boern. (Col., Scolytidae).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198-200.</w:t>
      </w:r>
    </w:p>
    <w:p>
      <w:pPr>
        <w:widowControl w:val="on"/>
        <w:pBdr/>
        <w:spacing w:before="220" w:after="220" w:line="240" w:lineRule="auto"/>
        <w:ind w:left="0" w:right="0"/>
        <w:jc w:val="left"/>
      </w:pPr>
      <w:r>
        <w:rPr>
          <w:rFonts w:ascii="Calibri" w:hAnsi="Calibri" w:eastAsia="Calibri" w:cs="Calibri"/>
          <w:color w:val="000000"/>
          <w:sz w:val="22"/>
          <w:szCs w:val="22"/>
        </w:rPr>
        <w:t xml:space="preserve">Perrot M (1977) Les attaques de scolytes sur les pins de la région centre.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185-198.</w:t>
      </w:r>
    </w:p>
    <w:p>
      <w:pPr>
        <w:widowControl w:val="on"/>
        <w:pBdr/>
        <w:spacing w:before="220" w:after="220" w:line="240" w:lineRule="auto"/>
        <w:ind w:left="0" w:right="0"/>
        <w:jc w:val="left"/>
      </w:pPr>
      <w:r>
        <w:rPr>
          <w:rFonts w:ascii="Calibri" w:hAnsi="Calibri" w:eastAsia="Calibri" w:cs="Calibri"/>
          <w:color w:val="000000"/>
          <w:sz w:val="22"/>
          <w:szCs w:val="22"/>
        </w:rPr>
        <w:t xml:space="preserve">Pineau X, Bourguignon M, Jactel H, Lieutier F &amp; Salle A (2017) Pyrrhic victory for bark beetles: successful standing tree colonization triggers strong intraspecific competition for offspring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399</w:t>
      </w:r>
      <w:r>
        <w:rPr>
          <w:rFonts w:ascii="Calibri" w:hAnsi="Calibri" w:eastAsia="Calibri" w:cs="Calibri"/>
          <w:color w:val="000000"/>
          <w:sz w:val="22"/>
          <w:szCs w:val="22"/>
        </w:rPr>
        <w:t xml:space="preserve">, 188–196.</w:t>
      </w:r>
    </w:p>
    <w:p>
      <w:pPr>
        <w:widowControl w:val="on"/>
        <w:pBdr/>
        <w:spacing w:before="220" w:after="220" w:line="240" w:lineRule="auto"/>
        <w:ind w:left="0" w:right="0"/>
        <w:jc w:val="left"/>
      </w:pPr>
      <w:r>
        <w:rPr>
          <w:rFonts w:ascii="Calibri" w:hAnsi="Calibri" w:eastAsia="Calibri" w:cs="Calibri"/>
          <w:color w:val="000000"/>
          <w:sz w:val="22"/>
          <w:szCs w:val="22"/>
        </w:rPr>
        <w:t xml:space="preserve">Romon P, Troya M, Fernandez de Gamarra ME, Eguzkitza A, Iturrondobeitia JC &amp; Goldarazenaet A (2008) Fungal communities associated with pitch canker disease of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northern Spain: association with insects and pathogen-saprophyte antagonistic interactions. </w:t>
      </w:r>
      <w:r>
        <w:rPr>
          <w:rFonts w:ascii="Calibri" w:hAnsi="Calibri" w:eastAsia="Calibri" w:cs="Calibri"/>
          <w:i/>
          <w:iCs/>
          <w:color w:val="000000"/>
          <w:sz w:val="22"/>
          <w:szCs w:val="22"/>
        </w:rPr>
        <w:t xml:space="preserve">Canadian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Pathology-Revue Canadienne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241–253. </w:t>
      </w:r>
    </w:p>
    <w:p>
      <w:pPr>
        <w:widowControl w:val="on"/>
        <w:pBdr/>
        <w:spacing w:before="220" w:after="220" w:line="240" w:lineRule="auto"/>
        <w:ind w:left="0" w:right="0"/>
        <w:jc w:val="left"/>
      </w:pPr>
      <w:r>
        <w:rPr>
          <w:rFonts w:ascii="Calibri" w:hAnsi="Calibri" w:eastAsia="Calibri" w:cs="Calibri"/>
          <w:color w:val="000000"/>
          <w:sz w:val="22"/>
          <w:szCs w:val="22"/>
        </w:rPr>
        <w:t xml:space="preserve">Rossi JP, Samalens JC, Guyon D, Van Halder I, Jactel H, Menassieu P &amp; Piou D (2009) Multiscale spatial variation of the bark beetle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damage in a pine plantation forest (Landes de Gascogne, Southwestern France).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257</w:t>
      </w:r>
      <w:r>
        <w:rPr>
          <w:rFonts w:ascii="Calibri" w:hAnsi="Calibri" w:eastAsia="Calibri" w:cs="Calibri"/>
          <w:color w:val="000000"/>
          <w:sz w:val="22"/>
          <w:szCs w:val="22"/>
        </w:rPr>
        <w:t xml:space="preserve">, 1551–1557.</w:t>
      </w:r>
    </w:p>
    <w:p>
      <w:pPr>
        <w:widowControl w:val="on"/>
        <w:pBdr/>
        <w:spacing w:before="220" w:after="220" w:line="240" w:lineRule="auto"/>
        <w:ind w:left="0" w:right="0"/>
        <w:jc w:val="left"/>
      </w:pPr>
      <w:r>
        <w:rPr>
          <w:rFonts w:ascii="Calibri" w:hAnsi="Calibri" w:eastAsia="Calibri" w:cs="Calibri"/>
          <w:color w:val="000000"/>
          <w:sz w:val="22"/>
          <w:szCs w:val="22"/>
        </w:rPr>
        <w:t xml:space="preserve">Schedl KE (1981) Familie: Scolytidae (Borken- und Ambrosiakafer). In</w:t>
      </w:r>
      <w:r>
        <w:rPr>
          <w:rFonts w:ascii="Calibri" w:hAnsi="Calibri" w:eastAsia="Calibri" w:cs="Calibri"/>
          <w:i/>
          <w:iCs/>
          <w:color w:val="000000"/>
          <w:sz w:val="22"/>
          <w:szCs w:val="22"/>
        </w:rPr>
        <w:t xml:space="preserve"> Die Kafer Mitteleuropas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Freude H, Harde KW &amp; Lohse GA), pp. 34–99. Goecke &amp; Evers, Krefeld (DE).</w:t>
      </w:r>
    </w:p>
    <w:p>
      <w:pPr>
        <w:widowControl w:val="on"/>
        <w:pBdr/>
        <w:spacing w:before="220" w:after="220" w:line="240" w:lineRule="auto"/>
        <w:ind w:left="0" w:right="0"/>
        <w:jc w:val="left"/>
      </w:pPr>
      <w:r>
        <w:rPr>
          <w:rFonts w:ascii="Calibri" w:hAnsi="Calibri" w:eastAsia="Calibri" w:cs="Calibri"/>
          <w:color w:val="000000"/>
          <w:sz w:val="22"/>
          <w:szCs w:val="22"/>
        </w:rPr>
        <w:t xml:space="preserve">Schimitschek E (1939) [The mass reproduction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Börner in regions of oriental spruce.]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545-588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Vité JP, Bakke A &amp; Hughes PR (1974) [A population attractant for the six-toothed bark beetle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365-366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w:t>
      </w:r>
      <w:r>
        <w:rPr>
          <w:rFonts w:ascii="Calibri" w:hAnsi="Calibri" w:eastAsia="Calibri" w:cs="Calibri"/>
          <w:i/>
          <w:iCs/>
          <w:color w:val="000000"/>
          <w:sz w:val="22"/>
          <w:szCs w:val="22"/>
        </w:rPr>
        <w:t xml:space="preserve">The bark and ambrosia beetles of North and Central America (Coleoptera: Scolytidae), a taxonomic monograph</w:t>
      </w:r>
      <w:r>
        <w:rPr>
          <w:rFonts w:ascii="Calibri" w:hAnsi="Calibri" w:eastAsia="Calibri" w:cs="Calibri"/>
          <w:color w:val="000000"/>
          <w:sz w:val="22"/>
          <w:szCs w:val="22"/>
        </w:rPr>
        <w:t xml:space="preserve">. Brigham Young University, Provo (US).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CABI Invasive Species Compendium, online. </w:t>
      </w:r>
      <w:r>
        <w:rPr>
          <w:rFonts w:ascii="Calibri" w:hAnsi="Calibri" w:eastAsia="Calibri" w:cs="Calibri"/>
          <w:i/>
          <w:iCs/>
          <w:color w:val="000000"/>
          <w:sz w:val="22"/>
          <w:szCs w:val="22"/>
        </w:rPr>
        <w:t xml:space="preserve">Ips sexdentatus </w:t>
      </w:r>
      <w:r>
        <w:rPr>
          <w:rFonts w:ascii="Calibri" w:hAnsi="Calibri" w:eastAsia="Calibri" w:cs="Calibri"/>
          <w:color w:val="000000"/>
          <w:sz w:val="22"/>
          <w:szCs w:val="22"/>
        </w:rPr>
        <w:t xml:space="preserve">(six-toothed bark beetle). https://www.cabi.org/ [Accessed: 19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Pest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(2017) EFSA Journal 15. </w:t>
      </w:r>
      <w:hyperlink r:id="rId58876ab06e2318b15" w:history="1">
        <w:r>
          <w:rPr>
            <w:rFonts w:ascii="Calibri" w:hAnsi="Calibri" w:eastAsia="Calibri" w:cs="Calibri"/>
            <w:color w:val="0000CC"/>
            <w:sz w:val="22"/>
            <w:szCs w:val="22"/>
            <w:u w:val="single"/>
          </w:rPr>
          <w:t xml:space="preserve">https://doi.org/10.2903/j.efsa.2017.4999</w:t>
        </w:r>
      </w:hyperlink>
      <w:r>
        <w:rPr>
          <w:rFonts w:ascii="Calibri" w:hAnsi="Calibri" w:eastAsia="Calibri" w:cs="Calibri"/>
          <w:color w:val="000000"/>
          <w:sz w:val="22"/>
          <w:szCs w:val="22"/>
        </w:rPr>
        <w:t xml:space="preserve"> [Accessed: 24 February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EPPO datasheets on pests recommended for regulation. Available online. </w:t>
      </w:r>
      <w:hyperlink r:id="rId96346ab06e2318bd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6903068" name="name77306ab06e2318d2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4276ab06e2318d2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61632">
    <w:multiLevelType w:val="hybridMultilevel"/>
    <w:lvl w:ilvl="0" w:tplc="26319910">
      <w:start w:val="1"/>
      <w:numFmt w:val="decimal"/>
      <w:lvlText w:val="%1."/>
      <w:lvlJc w:val="left"/>
      <w:pPr>
        <w:ind w:left="720" w:hanging="360"/>
      </w:pPr>
    </w:lvl>
    <w:lvl w:ilvl="1" w:tplc="26319910" w:tentative="1">
      <w:start w:val="1"/>
      <w:numFmt w:val="lowerLetter"/>
      <w:lvlText w:val="%2."/>
      <w:lvlJc w:val="left"/>
      <w:pPr>
        <w:ind w:left="1440" w:hanging="360"/>
      </w:pPr>
    </w:lvl>
    <w:lvl w:ilvl="2" w:tplc="26319910" w:tentative="1">
      <w:start w:val="1"/>
      <w:numFmt w:val="lowerRoman"/>
      <w:lvlText w:val="%3."/>
      <w:lvlJc w:val="right"/>
      <w:pPr>
        <w:ind w:left="2160" w:hanging="180"/>
      </w:pPr>
    </w:lvl>
    <w:lvl w:ilvl="3" w:tplc="26319910" w:tentative="1">
      <w:start w:val="1"/>
      <w:numFmt w:val="decimal"/>
      <w:lvlText w:val="%4."/>
      <w:lvlJc w:val="left"/>
      <w:pPr>
        <w:ind w:left="2880" w:hanging="360"/>
      </w:pPr>
    </w:lvl>
    <w:lvl w:ilvl="4" w:tplc="26319910" w:tentative="1">
      <w:start w:val="1"/>
      <w:numFmt w:val="lowerLetter"/>
      <w:lvlText w:val="%5."/>
      <w:lvlJc w:val="left"/>
      <w:pPr>
        <w:ind w:left="3600" w:hanging="360"/>
      </w:pPr>
    </w:lvl>
    <w:lvl w:ilvl="5" w:tplc="26319910" w:tentative="1">
      <w:start w:val="1"/>
      <w:numFmt w:val="lowerRoman"/>
      <w:lvlText w:val="%6."/>
      <w:lvlJc w:val="right"/>
      <w:pPr>
        <w:ind w:left="4320" w:hanging="180"/>
      </w:pPr>
    </w:lvl>
    <w:lvl w:ilvl="6" w:tplc="26319910" w:tentative="1">
      <w:start w:val="1"/>
      <w:numFmt w:val="decimal"/>
      <w:lvlText w:val="%7."/>
      <w:lvlJc w:val="left"/>
      <w:pPr>
        <w:ind w:left="5040" w:hanging="360"/>
      </w:pPr>
    </w:lvl>
    <w:lvl w:ilvl="7" w:tplc="26319910" w:tentative="1">
      <w:start w:val="1"/>
      <w:numFmt w:val="lowerLetter"/>
      <w:lvlText w:val="%8."/>
      <w:lvlJc w:val="left"/>
      <w:pPr>
        <w:ind w:left="5760" w:hanging="360"/>
      </w:pPr>
    </w:lvl>
    <w:lvl w:ilvl="8" w:tplc="26319910" w:tentative="1">
      <w:start w:val="1"/>
      <w:numFmt w:val="lowerRoman"/>
      <w:lvlText w:val="%9."/>
      <w:lvlJc w:val="right"/>
      <w:pPr>
        <w:ind w:left="6480" w:hanging="180"/>
      </w:pPr>
    </w:lvl>
  </w:abstractNum>
  <w:abstractNum w:abstractNumId="10361631">
    <w:multiLevelType w:val="hybridMultilevel"/>
    <w:lvl w:ilvl="0" w:tplc="75954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61631">
    <w:abstractNumId w:val="10361631"/>
  </w:num>
  <w:num w:numId="10361632">
    <w:abstractNumId w:val="1036163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0190565" Type="http://schemas.microsoft.com/office/2011/relationships/commentsExtended" Target="commentsExtended.xml"/><Relationship Id="rId642492985" Type="http://schemas.microsoft.com/office/2011/relationships/people" Target="people.xml"/><Relationship Id="rId42546ab06e2315286" Type="http://schemas.openxmlformats.org/officeDocument/2006/relationships/hyperlink" Target="https://gd.eppo.int/taxon/IPSXSE/" TargetMode="External"/><Relationship Id="rId60326ab06e23152cb" Type="http://schemas.openxmlformats.org/officeDocument/2006/relationships/hyperlink" Target="https://gd.eppo.int/taxon/IPSXSE/categorization" TargetMode="External"/><Relationship Id="rId11166ab06e2315c40" Type="http://schemas.openxmlformats.org/officeDocument/2006/relationships/hyperlink" Target="https://gd.eppo.int/taxon/IPSXSE/photos" TargetMode="External"/><Relationship Id="rId38846ab06e2317d47" Type="http://schemas.openxmlformats.org/officeDocument/2006/relationships/hyperlink" Target="http://cjai.biologicalsurvey.ca/dcgs_38/dcgs_38.html" TargetMode="External"/><Relationship Id="rId53586ab06e23184e5" Type="http://schemas.openxmlformats.org/officeDocument/2006/relationships/hyperlink" Target="https://www.cabdirect.org/cabdirect/abstract/19660601005" TargetMode="External"/><Relationship Id="rId58876ab06e2318b15" Type="http://schemas.openxmlformats.org/officeDocument/2006/relationships/hyperlink" Target="https://doi.org/10.2903/j.efsa.2017.4999" TargetMode="External"/><Relationship Id="rId96346ab06e2318bdc" Type="http://schemas.openxmlformats.org/officeDocument/2006/relationships/hyperlink" Target="https://gd.eppo.int" TargetMode="External"/><Relationship Id="rId79706ab06e2315b2c" Type="http://schemas.openxmlformats.org/officeDocument/2006/relationships/image" Target="media/imgrId79706ab06e2315b2c.jpg"/><Relationship Id="rId78066ab06e2316e50" Type="http://schemas.openxmlformats.org/officeDocument/2006/relationships/image" Target="media/imgrId78066ab06e2316e50.jpg"/><Relationship Id="rId64276ab06e2318d2b" Type="http://schemas.openxmlformats.org/officeDocument/2006/relationships/image" Target="media/imgrId64276ab06e2318d2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