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Ips subelongatus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2021-06-11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Ips subelongatus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Motschulsky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Ips fallax</w:t>
            </w:r>
            <w:r>
              <w:rPr>
                <w:rFonts w:ascii="Calibri" w:hAnsi="Calibri" w:eastAsia="Calibri" w:cs="Calibri"/>
                <w:color w:val="000000"/>
                <w:position w:val="-3"/>
                <w:sz w:val="22"/>
                <w:szCs w:val="22"/>
              </w:rPr>
              <w:t xml:space="preserve"> Egger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larch bark beetle, oblong bark beetle</w:t>
            </w:r>
            <w:hyperlink r:id="rId85846a66551b34b5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54596a66551b34bb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IPSXFA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3964557" name="name94866a66551b351c3" descr="12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20.jpg"/>
                          <pic:cNvPicPr/>
                        </pic:nvPicPr>
                        <pic:blipFill>
                          <a:blip r:embed="rId44206a66551b351c1" cstate="print"/>
                          <a:stretch>
                            <a:fillRect/>
                          </a:stretch>
                        </pic:blipFill>
                        <pic:spPr>
                          <a:xfrm>
                            <a:off x="0" y="0"/>
                            <a:ext cx="2160000" cy="1281600"/>
                          </a:xfrm>
                          <a:prstGeom prst="rect">
                            <a:avLst/>
                          </a:prstGeom>
                          <a:ln w="0">
                            <a:noFill/>
                          </a:ln>
                        </pic:spPr>
                      </pic:pic>
                    </a:graphicData>
                  </a:graphic>
                </wp:inline>
              </w:drawing>
            </w:r>
            <w:hyperlink r:id="rId42016a66551b352f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Until recently,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Motschulsky, 1860 has often been confused with a very close species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Heer. It was difficult to differentiate these species based on morphological characteristics and some authors considered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as synonymous with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However, the latest research, based on mitochondrial DNA sequences, established small but clear differences between two species and therefore that they may be considered as separate species: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infesting larch in Europe and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infesting larch in Asia (Stauffer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Cognato &amp; Sun, 2007; Cognato, 2015;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Therefore, the earlier records of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in Asia (e.g. Maslov, 1988;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Izhevskiy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Pfeffer, 1995; Vorontsov, 1995) are associated with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With respect to the whole Eurasian region,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are regarded as presenting distinct phytosanitary risks.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major hosts of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are various larch species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spp.), but the pest can also attack fir, spruce and pine (Mamaev, 1985). The beetle usually attacks cut logs, storm-damaged or dying trees, but sometimes it attacks standing live, stressed, trees.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olgensis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principis-ruprechtii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that a clear morphological distinction between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is difficult, it is generally accepted that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widespread in Asia and present in the north of the European part of Russia, and that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is present in Europe (EPPO, 2005; 2021; EFSA, 2017; Gao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CABI, 2021;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the future, identifying these species will require DNA analysis, especially for beetles from areas where the ranges of these species overlap.</w:t>
      </w:r>
    </w:p>
    <w:p>
      <w:r>
        <w:drawing>
          <wp:inline distT="0" distB="0" distL="0" distR="0">
            <wp:extent cx="6120000" cy="3067200"/>
            <wp:docPr id="72974328" name="name69286a66551b363b8" descr="IPSXF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SXFA_distribution_map.jpg"/>
                    <pic:cNvPicPr/>
                  </pic:nvPicPr>
                  <pic:blipFill>
                    <a:blip r:embed="rId99716a66551b363b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(Eastern Siberia, Far East, Northern Russia, Western Siberia)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Hebei, Heilongjiang, Henan, Hubei, Jilin, Liaoning, Neimenggu, Shaanxi, Shandong, Shanxi, Xinjiang, Yunnan), Japan (Hokkaido, Honshu), Korea, Democratic People's Republic of, Korea, Republic of, Mongolia, Taiwan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(spring) mass flight of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usually occurs from mid-May to the end of June in the southern part of the area of its distribution, when midday temperature reaches 16–20°C, and lasts for 15–17 days. The lower threshold temperature for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flight was estimated as 5.97°C, with 42.95 degree-days required for initiation of spring flight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Adults aggregate in response to pheromones (Qiu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1988;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After making galleries and laying eggs, some adults begin a second (‘sister’) flight, forming a ‘sister’ generation (Issaev, 1966; Maslov, 1988). This usually occurs from the end of June to the end of July in the same region and lasts 22–23 days. The adults from the first generation meanwhile continue additional feeding and enter diapause to prepare for overwintering. Sister generations follow in succession. Most adults overwinter in forest litter, whereas pupae, larvae and some adults overwinter under host bark (Schneider, 1977).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subelongatus </w:t>
      </w:r>
      <w:r>
        <w:rPr>
          <w:rFonts w:ascii="Calibri" w:hAnsi="Calibri" w:eastAsia="Calibri" w:cs="Calibri"/>
          <w:color w:val="000000"/>
          <w:sz w:val="22"/>
          <w:szCs w:val="22"/>
        </w:rPr>
        <w:t xml:space="preserve">may lay eggs in stressed trees, but more usually in dying trees and cut trunks. The form and the depth of galleries varies greatly depending on the health of the tree. Female galleries, 3.0–3.5 mm wide, are usually 16–18 cm long but may sometimes reach 27 cm. Adults need additional feeding, which usually occurs on the trunk at the region of larval development, but, in the case of shortage of food, may also be on roots and at the zone of thin bark at the top of the trunk and on the branches. These galleries are characterized by high quantities of frass.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For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characteristic symptoms are: flow of resin coming from the places where attempts have been made to lay eggs, typical gallery system with central chamber and radial larval galleries, sparse crowns of larch trees with partly dead tops and branches. Pest-infested trees often wilt and die. </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fact that the early morphological description of eggs, larva, pupa of this species may have belonged to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only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adults are described below. Since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are very closely related species, it is assumed that the morphology of eggs, larva, and pupa will be identical (Kalina, 1969; EPPO, 2021). A brief morphological description of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based on records by Сognato (2015) &amp;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Body. 4.2-6.5 mm long, 2.6 times longer than wide; pronotum 1.1-1.2 times longer than wide. There are four spines on the elytral declivity.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distinguished from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by the shiny elytral declivity and interstrial punctures of the elytral disk, and from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by more densely setose elytral declivity and larger body size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are usually only 3 to 5 mm long). It differs from North American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-feeding species and </w:t>
      </w:r>
      <w:r>
        <w:rPr>
          <w:rFonts w:ascii="Calibri" w:hAnsi="Calibri" w:eastAsia="Calibri" w:cs="Calibri"/>
          <w:i/>
          <w:iCs/>
          <w:color w:val="000000"/>
          <w:sz w:val="22"/>
          <w:szCs w:val="22"/>
        </w:rPr>
        <w:t xml:space="preserve">I. woodi</w:t>
      </w:r>
      <w:r>
        <w:rPr>
          <w:rFonts w:ascii="Calibri" w:hAnsi="Calibri" w:eastAsia="Calibri" w:cs="Calibri"/>
          <w:color w:val="000000"/>
          <w:sz w:val="22"/>
          <w:szCs w:val="22"/>
        </w:rPr>
        <w:t xml:space="preserve"> by the space between the first and second spines, which is less than the length of the first spine (Сognato, 2015;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can be detected by visual inspection of trees showing signs of damage. During a pest attack, sawdust is ejected from the entrance holes, and when young adults begin to feed on phloem around the passages, the bark can flake off. Pest detection can also be done with pheromone traps. The species can be identified based on morphological parameters, but DNA analysis is necessary to accurately distinguish it from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In trees attacked by these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species, the death of the crown of trees is observed. The sapwood of attacked trees turns blue due to blue stain fungi that beetles carry.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Laboratory experiments have shown that adult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 can fly continuously for several hours. In the field, however, flight has only been observed to take place over limited distances and then usually downwind. It was found that some individuals of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 can fly up to 45 km, but the distance for most of the beetles was 5 km (Jactel &amp; Gaillard, 1991). </w:t>
      </w:r>
    </w:p>
    <w:p>
      <w:pPr>
        <w:widowControl w:val="on"/>
        <w:pBdr/>
        <w:spacing w:before="220" w:after="220" w:line="240" w:lineRule="auto"/>
        <w:ind w:left="0" w:right="0"/>
        <w:jc w:val="both"/>
      </w:pPr>
      <w:r>
        <w:rPr>
          <w:rFonts w:ascii="Calibri" w:hAnsi="Calibri" w:eastAsia="Calibri" w:cs="Calibri"/>
          <w:color w:val="000000"/>
          <w:sz w:val="22"/>
          <w:szCs w:val="22"/>
        </w:rPr>
        <w:t xml:space="preserve">Dispersal over longer distances occurs via transportation of the pest under the bark of logs. It is assumed that the distribution area of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was Asia, but later this species was introduced into the European part of Russia, probably with non-debarked wood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There is little risk of movement with plants for planting, but </w:t>
      </w:r>
      <w:r>
        <w:rPr>
          <w:rFonts w:ascii="Calibri" w:hAnsi="Calibri" w:eastAsia="Calibri" w:cs="Calibri"/>
          <w:i/>
          <w:iCs/>
          <w:color w:val="000000"/>
          <w:sz w:val="22"/>
          <w:szCs w:val="22"/>
        </w:rPr>
        <w:t xml:space="preserve">Ips </w:t>
      </w:r>
      <w:r>
        <w:rPr>
          <w:rFonts w:ascii="Calibri" w:hAnsi="Calibri" w:eastAsia="Calibri" w:cs="Calibri"/>
          <w:color w:val="000000"/>
          <w:sz w:val="22"/>
          <w:szCs w:val="22"/>
        </w:rPr>
        <w:t xml:space="preserve">spp. could be carried as contaminating pests on other wood commodities.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a secondary pest in native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plantations, breeding in logs, wind-blown stems and dying trees. Drought conditions may promote pest attack on drought stressed trees. The situation for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has a much greater economic impact in Russia because larch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constitutes a much more important element of Siberian forests.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regarded as one of the most serious pests of larch in the Asian part of the EPPO region. The most severe damage is usually observed in larch forests previously attacked by </w:t>
      </w:r>
      <w:r>
        <w:rPr>
          <w:rFonts w:ascii="Calibri" w:hAnsi="Calibri" w:eastAsia="Calibri" w:cs="Calibri"/>
          <w:i/>
          <w:iCs/>
          <w:color w:val="000000"/>
          <w:sz w:val="22"/>
          <w:szCs w:val="22"/>
        </w:rPr>
        <w:t xml:space="preserve">Dendrolimus sibiricus, Dasychira albodentata, Semiothisa continuaria, Xylotrechus altaicus</w:t>
      </w:r>
      <w:r>
        <w:rPr>
          <w:rFonts w:ascii="Calibri" w:hAnsi="Calibri" w:eastAsia="Calibri" w:cs="Calibri"/>
          <w:color w:val="000000"/>
          <w:sz w:val="22"/>
          <w:szCs w:val="22"/>
        </w:rPr>
        <w:t xml:space="preserve"> and other pests, or damaged by forest fires, and is very often followed by outbreaks of other wood borers (scolytids, cerambycids and others), particularly, </w:t>
      </w:r>
      <w:r>
        <w:rPr>
          <w:rFonts w:ascii="Calibri" w:hAnsi="Calibri" w:eastAsia="Calibri" w:cs="Calibri"/>
          <w:i/>
          <w:iCs/>
          <w:color w:val="000000"/>
          <w:sz w:val="22"/>
          <w:szCs w:val="22"/>
        </w:rPr>
        <w:t xml:space="preserve">Scolytus morawitzi, Monochamus sutor, M. impluviatus, Melanophila guttulata</w:t>
      </w:r>
      <w:r>
        <w:rPr>
          <w:rFonts w:ascii="Calibri" w:hAnsi="Calibri" w:eastAsia="Calibri" w:cs="Calibri"/>
          <w:color w:val="000000"/>
          <w:sz w:val="22"/>
          <w:szCs w:val="22"/>
        </w:rPr>
        <w:t xml:space="preserve"> (Issaev, 1966; Yu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Maslov, 1988; Vorontsov, 1995).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may continue to attack the same tree over several years. In particular, larvae sometimes encircle trunks feeding in the phloem, which may lead to the death of the infested tree. </w:t>
      </w:r>
    </w:p>
    <w:p>
      <w:pPr>
        <w:widowControl w:val="on"/>
        <w:pBdr/>
        <w:spacing w:before="220" w:after="220" w:line="240" w:lineRule="auto"/>
        <w:ind w:left="0" w:right="0"/>
        <w:jc w:val="both"/>
      </w:pPr>
      <w:r>
        <w:rPr>
          <w:rFonts w:ascii="Calibri" w:hAnsi="Calibri" w:eastAsia="Calibri" w:cs="Calibri"/>
          <w:color w:val="000000"/>
          <w:sz w:val="22"/>
          <w:szCs w:val="22"/>
        </w:rPr>
        <w:t xml:space="preserve">As in the case of other conifer bark beetles,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a vector of blue-stain and other phytopathogenic fungi (</w:t>
      </w:r>
      <w:r>
        <w:rPr>
          <w:rFonts w:ascii="Calibri" w:hAnsi="Calibri" w:eastAsia="Calibri" w:cs="Calibri"/>
          <w:i/>
          <w:iCs/>
          <w:color w:val="000000"/>
          <w:sz w:val="22"/>
          <w:szCs w:val="22"/>
        </w:rPr>
        <w:t xml:space="preserve">Ceratocystis laricicola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Ceratocystiopsis minuta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Ophiostoma brunneociliatum, Ophiostoma piceae</w:t>
      </w:r>
      <w:r>
        <w:rPr>
          <w:rFonts w:ascii="Calibri" w:hAnsi="Calibri" w:eastAsia="Calibri" w:cs="Calibri"/>
          <w:color w:val="000000"/>
          <w:sz w:val="22"/>
          <w:szCs w:val="22"/>
        </w:rPr>
        <w:t xml:space="preserve">), which also damage the tree (Redfern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Yamaoka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Stauffer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Several fungal species belonging to four genera (</w:t>
      </w:r>
      <w:r>
        <w:rPr>
          <w:rFonts w:ascii="Calibri" w:hAnsi="Calibri" w:eastAsia="Calibri" w:cs="Calibri"/>
          <w:i/>
          <w:iCs/>
          <w:color w:val="000000"/>
          <w:sz w:val="22"/>
          <w:szCs w:val="22"/>
        </w:rPr>
        <w:t xml:space="preserve">Ceratocystiopsis, Endoconidiophora, Leptographium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Ophiostoma)</w:t>
      </w:r>
      <w:r>
        <w:rPr>
          <w:rFonts w:ascii="Calibri" w:hAnsi="Calibri" w:eastAsia="Calibri" w:cs="Calibri"/>
          <w:color w:val="000000"/>
          <w:sz w:val="22"/>
          <w:szCs w:val="22"/>
        </w:rPr>
        <w:t xml:space="preserve"> associated with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have been identified in China on various species of larch (</w:t>
      </w:r>
      <w:r>
        <w:rPr>
          <w:rFonts w:ascii="Calibri" w:hAnsi="Calibri" w:eastAsia="Calibri" w:cs="Calibri"/>
          <w:i/>
          <w:iCs/>
          <w:color w:val="000000"/>
          <w:sz w:val="22"/>
          <w:szCs w:val="22"/>
        </w:rPr>
        <w:t xml:space="preserve">Larix </w:t>
      </w:r>
      <w:r>
        <w:rPr>
          <w:rFonts w:ascii="Calibri" w:hAnsi="Calibri" w:eastAsia="Calibri" w:cs="Calibri"/>
          <w:color w:val="000000"/>
          <w:sz w:val="22"/>
          <w:szCs w:val="22"/>
        </w:rPr>
        <w:t xml:space="preserve">spp.) and pine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mongolica</w:t>
      </w:r>
      <w:r>
        <w:rPr>
          <w:rFonts w:ascii="Calibri" w:hAnsi="Calibri" w:eastAsia="Calibri" w:cs="Calibri"/>
          <w:color w:val="000000"/>
          <w:sz w:val="22"/>
          <w:szCs w:val="22"/>
        </w:rPr>
        <w:t xml:space="preserve">)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Researchers believe that it is these phytopathogenic fungi that can cause the death of trees.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control measures for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are similar to those used for the control of other bark beetle species. The most effective measure is the sanitation felling of infested standing trees, as well as the harvesting of diseased and windthrown trees (to remove pest breeding substrates). These measures prevent the emergence of a new generation of beetles. In order to prevent the further development of bark beetles (pupae or young adults inside the bark) the immediate debarking of logs is recommended, followed by the destruction, processing or composting of the bark. Pheromone mass-trapping can also be implemented locally (Stoakely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Rebenstorff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Niemeyer, 1989). Quarantine measures should be implemented to prevent entry into areas where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absent. The main pathways of bark beetle entry are: wood commodities of plant hosts (plants for planting, non-squared wood, bark and wood packaging material, including dunnage) from countries where the pest occurs. </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Nematodes, micro-organisms, parasitoids and predators may play a role in regulation of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populations (Gusteleva, 1982; Vorontsov, 1995) but studies to confirm this assumption have not been carried out.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It is believed that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was previously present only in Asia but was introduced into Europe (north-eastern European Russia)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not explicitly regulated by the European Union but, since it is virtually absent from Europe, it can be considered as a member of the category ‘non-European Scolytidae’, which is regulated by the EU (EFSA, 2017). In accordance with the phytosanitary requirements of the EU, wood commodities are exported from Asian Russia (where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present) to the EU without bark. </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reported to be more damaging to the local </w:t>
      </w:r>
      <w:r>
        <w:rPr>
          <w:rFonts w:ascii="Calibri" w:hAnsi="Calibri" w:eastAsia="Calibri" w:cs="Calibri"/>
          <w:i/>
          <w:iCs/>
          <w:color w:val="000000"/>
          <w:sz w:val="22"/>
          <w:szCs w:val="22"/>
        </w:rPr>
        <w:t xml:space="preserve">Larix </w:t>
      </w:r>
      <w:r>
        <w:rPr>
          <w:rFonts w:ascii="Calibri" w:hAnsi="Calibri" w:eastAsia="Calibri" w:cs="Calibri"/>
          <w:color w:val="000000"/>
          <w:sz w:val="22"/>
          <w:szCs w:val="22"/>
        </w:rPr>
        <w:t xml:space="preserve">species, and more in need of control in Asia than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in Europe (Stauffer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also presents a risk to other continents where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plantations are present, particularly North America. This pest has been not found in any EU countries, and may pose a threat to larch plantations in the EU territory.</w:t>
      </w:r>
    </w:p>
    <w:p>
      <w:pPr>
        <w:widowControl w:val="on"/>
        <w:pBdr/>
        <w:spacing w:before="220" w:after="220" w:line="240" w:lineRule="auto"/>
        <w:ind w:left="0" w:right="0"/>
        <w:jc w:val="left"/>
      </w:pPr>
      <w:r>
        <w:rPr>
          <w:rFonts w:ascii="Calibri" w:hAnsi="Calibri" w:eastAsia="Calibri" w:cs="Calibri"/>
          <w:color w:val="000000"/>
          <w:sz w:val="22"/>
          <w:szCs w:val="22"/>
        </w:rPr>
        <w:t xml:space="preserve">The main risk of spreading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associated with the transportation of plant-host logs, mainly larch, which may contain eggs, larvae, pupae and adults under the bark.</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against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can be the same as for other bark beetle species (</w:t>
      </w:r>
      <w:r>
        <w:rPr>
          <w:rFonts w:ascii="Calibri" w:hAnsi="Calibri" w:eastAsia="Calibri" w:cs="Calibri"/>
          <w:i/>
          <w:iCs/>
          <w:color w:val="000000"/>
          <w:sz w:val="22"/>
          <w:szCs w:val="22"/>
        </w:rPr>
        <w:t xml:space="preserve">I. typographus, I. sexdentatus, I. </w:t>
      </w:r>
      <w:r>
        <w:rPr>
          <w:rFonts w:ascii="Calibri" w:hAnsi="Calibri" w:eastAsia="Calibri" w:cs="Calibri"/>
          <w:i/>
          <w:iCs/>
          <w:color w:val="000000"/>
          <w:sz w:val="22"/>
          <w:szCs w:val="22"/>
        </w:rPr>
        <w:t xml:space="preserve">hauseri</w:t>
      </w:r>
      <w:r>
        <w:rPr>
          <w:rFonts w:ascii="Calibri" w:hAnsi="Calibri" w:eastAsia="Calibri" w:cs="Calibri"/>
          <w:color w:val="000000"/>
          <w:sz w:val="22"/>
          <w:szCs w:val="22"/>
        </w:rPr>
        <w:t xml:space="preserve">, etc). The following phytosanitary measures recommended by the EPPO Standard PM 8/2 (3) ‘Coniferae’ (EPPO, 2018) are considered to be effective against bark beetles including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Plants for planting, cut branches (including cut Christmas trees), round wood or other parts of the host plants of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from countries in which this pest is present should originate from a pest-free area. If not, the following phytosanitary measures are required to import round wood from the area where the pest is present: wood should be bark-free or heat-treated (EPPO, 2009a), or fumigated with an appropriate fumigant, or treated with ionizing radiation (EPPO, 2009b). Harvesting wood residues, processing wood residues, hogwood and wood chips of the host should be produced from debarked wood or heat-treated. The heat treatment is also required for import of isolated bark. Wood packaging materials should meet requirements of ISPM no. 15 (IРРС, 2018). When wood with bark is moved in international trade, it should be stored and transported through the pest-free areas, or outside of the pest flight period, or in closed containers to prevent infestation.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(2021) CABI Invasive Species Compendium, online.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(larch bark beetle). Available online: </w:t>
      </w:r>
      <w:hyperlink r:id="rId28926a66551b377b3" w:history="1">
        <w:r>
          <w:rPr>
            <w:rFonts w:ascii="Calibri" w:hAnsi="Calibri" w:eastAsia="Calibri" w:cs="Calibri"/>
            <w:color w:val="0000CC"/>
            <w:sz w:val="22"/>
            <w:szCs w:val="22"/>
            <w:u w:val="single"/>
          </w:rPr>
          <w:t xml:space="preserve">https://www.cabi.org/isc/datasheet/28841</w:t>
        </w:r>
      </w:hyperlink>
      <w:r>
        <w:rPr>
          <w:rFonts w:ascii="Calibri" w:hAnsi="Calibri" w:eastAsia="Calibri" w:cs="Calibri"/>
          <w:color w:val="000000"/>
          <w:sz w:val="22"/>
          <w:szCs w:val="22"/>
        </w:rPr>
        <w:t xml:space="preserve"> [Accessed: 21 April 2021]</w:t>
      </w:r>
    </w:p>
    <w:p>
      <w:pPr>
        <w:widowControl w:val="on"/>
        <w:pBdr/>
        <w:spacing w:before="220" w:after="220" w:line="240" w:lineRule="auto"/>
        <w:ind w:left="0" w:right="0"/>
        <w:jc w:val="left"/>
      </w:pPr>
      <w:r>
        <w:rPr>
          <w:rFonts w:ascii="Calibri" w:hAnsi="Calibri" w:eastAsia="Calibri" w:cs="Calibri"/>
          <w:color w:val="000000"/>
          <w:sz w:val="22"/>
          <w:szCs w:val="22"/>
        </w:rPr>
        <w:t xml:space="preserve">Cognato AI (2015) Biology, systematics, and evolution of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In Bark beetles: biology and ecology of native and invasive species. Edited by F.E. Vega and R.W. Hofstetter. Elsevier, San Diego, California. pp. 351–370. </w:t>
      </w:r>
    </w:p>
    <w:p>
      <w:pPr>
        <w:widowControl w:val="on"/>
        <w:pBdr/>
        <w:spacing w:before="220" w:after="220" w:line="240" w:lineRule="auto"/>
        <w:ind w:left="0" w:right="0"/>
        <w:jc w:val="left"/>
      </w:pPr>
      <w:r>
        <w:rPr>
          <w:rFonts w:ascii="Calibri" w:hAnsi="Calibri" w:eastAsia="Calibri" w:cs="Calibri"/>
          <w:color w:val="000000"/>
          <w:sz w:val="22"/>
          <w:szCs w:val="22"/>
        </w:rPr>
        <w:t xml:space="preserve">Cognato A I, Sun JH (2007) DNA based cladograms augment the discovery of a new </w:t>
      </w:r>
      <w:r>
        <w:rPr>
          <w:rFonts w:ascii="Calibri" w:hAnsi="Calibri" w:eastAsia="Calibri" w:cs="Calibri"/>
          <w:i/>
          <w:iCs/>
          <w:color w:val="000000"/>
          <w:sz w:val="22"/>
          <w:szCs w:val="22"/>
        </w:rPr>
        <w:t xml:space="preserve">Ips </w:t>
      </w:r>
      <w:r>
        <w:rPr>
          <w:rFonts w:ascii="Calibri" w:hAnsi="Calibri" w:eastAsia="Calibri" w:cs="Calibri"/>
          <w:color w:val="000000"/>
          <w:sz w:val="22"/>
          <w:szCs w:val="22"/>
        </w:rPr>
        <w:t xml:space="preserve">species from China (Coleoptera: Curculionidae: Scolytinae). </w:t>
      </w:r>
      <w:r>
        <w:rPr>
          <w:rFonts w:ascii="Calibri" w:hAnsi="Calibri" w:eastAsia="Calibri" w:cs="Calibri"/>
          <w:i/>
          <w:iCs/>
          <w:color w:val="000000"/>
          <w:sz w:val="22"/>
          <w:szCs w:val="22"/>
        </w:rPr>
        <w:t xml:space="preserve">Cladistics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(6), 539-551.</w:t>
      </w:r>
    </w:p>
    <w:p>
      <w:pPr>
        <w:widowControl w:val="on"/>
        <w:pBdr/>
        <w:spacing w:before="220" w:after="220" w:line="240" w:lineRule="auto"/>
        <w:ind w:left="0" w:right="0"/>
        <w:jc w:val="left"/>
      </w:pPr>
      <w:r>
        <w:rPr>
          <w:rFonts w:ascii="Calibri" w:hAnsi="Calibri" w:eastAsia="Calibri" w:cs="Calibri"/>
          <w:color w:val="000000"/>
          <w:sz w:val="22"/>
          <w:szCs w:val="22"/>
        </w:rPr>
        <w:t xml:space="preserve">Douglas HB, Cognato AI, Grebennikov V and Savard K (2019) Dichotomous and matrix-based keys to the </w:t>
      </w:r>
      <w:r>
        <w:rPr>
          <w:rFonts w:ascii="Calibri" w:hAnsi="Calibri" w:eastAsia="Calibri" w:cs="Calibri"/>
          <w:i/>
          <w:iCs/>
          <w:color w:val="000000"/>
          <w:sz w:val="22"/>
          <w:szCs w:val="22"/>
        </w:rPr>
        <w:t xml:space="preserve">Ips </w:t>
      </w:r>
      <w:r>
        <w:rPr>
          <w:rFonts w:ascii="Calibri" w:hAnsi="Calibri" w:eastAsia="Calibri" w:cs="Calibri"/>
          <w:color w:val="000000"/>
          <w:sz w:val="22"/>
          <w:szCs w:val="22"/>
        </w:rPr>
        <w:t xml:space="preserve">bark beetles of the World (Coleoptera: Curculionidae: Scolytinae). </w:t>
      </w:r>
      <w:r>
        <w:rPr>
          <w:rFonts w:ascii="Calibri" w:hAnsi="Calibri" w:eastAsia="Calibri" w:cs="Calibri"/>
          <w:i/>
          <w:iCs/>
          <w:color w:val="000000"/>
          <w:sz w:val="22"/>
          <w:szCs w:val="22"/>
        </w:rPr>
        <w:t xml:space="preserve">Canadian Journal of Arthropod Identification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234 pp. doi: 10.3752/cjai.2019.38 </w:t>
      </w:r>
      <w:hyperlink r:id="rId77246a66551b37921" w:history="1">
        <w:r>
          <w:rPr>
            <w:rFonts w:ascii="Calibri" w:hAnsi="Calibri" w:eastAsia="Calibri" w:cs="Calibri"/>
            <w:color w:val="0000CC"/>
            <w:sz w:val="22"/>
            <w:szCs w:val="22"/>
            <w:u w:val="single"/>
          </w:rPr>
          <w:t xml:space="preserve">http://cjai.biologicalsurvey.ca/dcgs_38/dcgs_38.html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(EFSA PLH) (2017) Jeger M, Bragard C, Caffier D, Candresse T, Chatzivassiliou E, Dehnen-Schmutz K, Gilioli G, Jaques Miret JA, MacLeod A, Navajas Navarro M, Niere B, Parnell S, Potting R, Rafoss T, Rossi V, Urek G, Van Bruggen A, Van der Werf W, West J, Winter S, Kertesz V, Aukhojee M and Gregoire J-C. Scientific opinion on the pest categorisation of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(11), 5039, 27 pp. </w:t>
      </w:r>
      <w:hyperlink r:id="rId66976a66551b379b7" w:history="1">
        <w:r>
          <w:rPr>
            <w:rFonts w:ascii="Calibri" w:hAnsi="Calibri" w:eastAsia="Calibri" w:cs="Calibri"/>
            <w:color w:val="0000CC"/>
            <w:sz w:val="22"/>
            <w:szCs w:val="22"/>
            <w:u w:val="single"/>
          </w:rPr>
          <w:t xml:space="preserve">https://doi.org/10.2903/j.efsa.2017.5039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Ips cembrae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Ips subelongatus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445-449. </w:t>
      </w:r>
      <w:hyperlink r:id="rId36526a66551b37a79" w:history="1">
        <w:r>
          <w:rPr>
            <w:rFonts w:ascii="Calibri" w:hAnsi="Calibri" w:eastAsia="Calibri" w:cs="Calibri"/>
            <w:color w:val="0000CC"/>
            <w:sz w:val="22"/>
            <w:szCs w:val="22"/>
            <w:u w:val="single"/>
          </w:rPr>
          <w:t xml:space="preserve">https://doi.org/10.1111/j.1365-2338.2005.00880.x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(2009a) Standard PM 10/6 Heat treatment of wood to control insects and wood-borne nematodes.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(2009b) Standard PM 10/8 Disinfestation of wood with ionizing radiation.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34–35.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Standard PM 8/2 (3)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EPPO datasheets on pests recommended for regulation. Available online. </w:t>
      </w:r>
      <w:hyperlink r:id="rId87116a66551b37be8" w:history="1">
        <w:r>
          <w:rPr>
            <w:rFonts w:ascii="Calibri" w:hAnsi="Calibri" w:eastAsia="Calibri" w:cs="Calibri"/>
            <w:color w:val="0000CC"/>
            <w:sz w:val="22"/>
            <w:szCs w:val="22"/>
            <w:u w:val="single"/>
          </w:rPr>
          <w:t xml:space="preserve">https://gd.eppo.int/taxon/IPSXCE/datasheet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Gao CQ, Sun SH, Ren XG, Niu YZ, Song LW and Zhang YS (2000) [Study of biological and ecological characteristics of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Forestry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114–118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Jactel H and Gaillard J (1991) A preliminary study of the dispersal potential of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with an automatically recording flight mill.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138-145.</w:t>
      </w:r>
    </w:p>
    <w:p>
      <w:pPr>
        <w:widowControl w:val="on"/>
        <w:pBdr/>
        <w:spacing w:before="220" w:after="220" w:line="240" w:lineRule="auto"/>
        <w:ind w:left="0" w:right="0"/>
        <w:jc w:val="left"/>
      </w:pPr>
      <w:r>
        <w:rPr>
          <w:rFonts w:ascii="Calibri" w:hAnsi="Calibri" w:eastAsia="Calibri" w:cs="Calibri"/>
          <w:color w:val="000000"/>
          <w:sz w:val="22"/>
          <w:szCs w:val="22"/>
        </w:rPr>
        <w:t xml:space="preserve">Gusteleva LA (1982) [Prospects of using microbial preparations against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Lesnoe Khozyaistvo</w:t>
      </w:r>
      <w:r>
        <w:rPr>
          <w:rFonts w:ascii="Calibri" w:hAnsi="Calibri" w:eastAsia="Calibri" w:cs="Calibri"/>
          <w:color w:val="000000"/>
          <w:sz w:val="22"/>
          <w:szCs w:val="22"/>
        </w:rPr>
        <w:t xml:space="preserve"> no.</w:t>
      </w:r>
      <w:r>
        <w:rPr>
          <w:rFonts w:ascii="Calibri" w:hAnsi="Calibri" w:eastAsia="Calibri" w:cs="Calibri"/>
          <w:b/>
          <w:bCs/>
          <w:color w:val="000000"/>
          <w:sz w:val="22"/>
          <w:szCs w:val="22"/>
        </w:rPr>
        <w:t xml:space="preserve"> 9</w:t>
      </w:r>
      <w:r>
        <w:rPr>
          <w:rFonts w:ascii="Calibri" w:hAnsi="Calibri" w:eastAsia="Calibri" w:cs="Calibri"/>
          <w:color w:val="000000"/>
          <w:sz w:val="22"/>
          <w:szCs w:val="22"/>
        </w:rPr>
        <w:t xml:space="preserve">, 67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IРРС (2018) International Standards for Phytosanitary Measures no. 15. Guidelines for Regulating Wood Packaging in International Trade.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Izhevskiy SS, Nikitskiy NB, Volkov OG and Dolgin MM (2005) [Illustrated guide to coleopteran – xylophagous pests of forests and timber of Russia]. Tula: Grif and C</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 218 pp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Issaev AS (1966) [Borer pests of </w:t>
      </w:r>
      <w:r>
        <w:rPr>
          <w:rFonts w:ascii="Calibri" w:hAnsi="Calibri" w:eastAsia="Calibri" w:cs="Calibri"/>
          <w:i/>
          <w:iCs/>
          <w:color w:val="000000"/>
          <w:sz w:val="22"/>
          <w:szCs w:val="22"/>
        </w:rPr>
        <w:t xml:space="preserve">Larix dahurica</w:t>
      </w:r>
      <w:r>
        <w:rPr>
          <w:rFonts w:ascii="Calibri" w:hAnsi="Calibri" w:eastAsia="Calibri" w:cs="Calibri"/>
          <w:color w:val="000000"/>
          <w:sz w:val="22"/>
          <w:szCs w:val="22"/>
        </w:rPr>
        <w:t xml:space="preserve">] Nauka, Moscow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Kalina, V. (1969) [Larvae of European bark beetles (Coleoptera, Scolytidae)]. </w:t>
      </w:r>
      <w:r>
        <w:rPr>
          <w:rFonts w:ascii="Calibri" w:hAnsi="Calibri" w:eastAsia="Calibri" w:cs="Calibri"/>
          <w:i/>
          <w:iCs/>
          <w:color w:val="000000"/>
          <w:sz w:val="22"/>
          <w:szCs w:val="22"/>
        </w:rPr>
        <w:t xml:space="preserve">Studia Entomologica Forestalia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(2);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(3), 13-22; 41-61.</w:t>
      </w:r>
    </w:p>
    <w:p>
      <w:pPr>
        <w:widowControl w:val="on"/>
        <w:pBdr/>
        <w:spacing w:before="220" w:after="220" w:line="240" w:lineRule="auto"/>
        <w:ind w:left="0" w:right="0"/>
        <w:jc w:val="left"/>
      </w:pPr>
      <w:r>
        <w:rPr>
          <w:rFonts w:ascii="Calibri" w:hAnsi="Calibri" w:eastAsia="Calibri" w:cs="Calibri"/>
          <w:color w:val="000000"/>
          <w:sz w:val="22"/>
          <w:szCs w:val="22"/>
        </w:rPr>
        <w:t xml:space="preserve">Lee CY, Nam Y, Park C, Bae YJ and Choi WI (2019) Forecasting spring flight of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(Coleoptera: Curculionidae: Scolytinae) in Japanese larch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(Pinales: Pinaceae) forests in the Republic of Korea.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(6), 1481–1488, </w:t>
      </w:r>
      <w:hyperlink r:id="rId76096a66551b37f2d" w:history="1">
        <w:r>
          <w:rPr>
            <w:rFonts w:ascii="Calibri" w:hAnsi="Calibri" w:eastAsia="Calibri" w:cs="Calibri"/>
            <w:color w:val="0000CC"/>
            <w:sz w:val="22"/>
            <w:szCs w:val="22"/>
            <w:u w:val="single"/>
          </w:rPr>
          <w:t xml:space="preserve">https://doi.org/10.1093/ee/nvz105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Liu XW, Wang HM, Lu Q, Decock C, Li YX and Zhang XY (2017) Taxonomy and pathogenicity of </w:t>
      </w:r>
      <w:r>
        <w:rPr>
          <w:rFonts w:ascii="Calibri" w:hAnsi="Calibri" w:eastAsia="Calibri" w:cs="Calibri"/>
          <w:i/>
          <w:iCs/>
          <w:color w:val="000000"/>
          <w:sz w:val="22"/>
          <w:szCs w:val="22"/>
        </w:rPr>
        <w:t xml:space="preserve">Leptographium</w:t>
      </w:r>
      <w:r>
        <w:rPr>
          <w:rFonts w:ascii="Calibri" w:hAnsi="Calibri" w:eastAsia="Calibri" w:cs="Calibri"/>
          <w:color w:val="000000"/>
          <w:sz w:val="22"/>
          <w:szCs w:val="22"/>
        </w:rPr>
        <w:t xml:space="preserve">, species associated with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infestations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spp. in northern China, including two new species. </w:t>
      </w:r>
      <w:r>
        <w:rPr>
          <w:rFonts w:ascii="Calibri" w:hAnsi="Calibri" w:eastAsia="Calibri" w:cs="Calibri"/>
          <w:i/>
          <w:iCs/>
          <w:color w:val="000000"/>
          <w:sz w:val="22"/>
          <w:szCs w:val="22"/>
        </w:rPr>
        <w:t xml:space="preserve">Mycological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1–13</w:t>
      </w:r>
    </w:p>
    <w:p>
      <w:pPr>
        <w:widowControl w:val="on"/>
        <w:pBdr/>
        <w:spacing w:before="220" w:after="220" w:line="240" w:lineRule="auto"/>
        <w:ind w:left="0" w:right="0"/>
        <w:jc w:val="left"/>
      </w:pPr>
      <w:r>
        <w:rPr>
          <w:rFonts w:ascii="Calibri" w:hAnsi="Calibri" w:eastAsia="Calibri" w:cs="Calibri"/>
          <w:color w:val="000000"/>
          <w:sz w:val="22"/>
          <w:szCs w:val="22"/>
        </w:rPr>
        <w:t xml:space="preserve">Mamaev BM (1985) [Xylophagous pests of forests and timber of Siberia and Far East]. Moscow: Agropromizdat. 208 pp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Maslov AD (1988) [Guide on Forest Protection against Pests and Diseases.] Agropromizdat, Moscow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Niemeyer H (1989) [First results with a pheromone trap system for monitoring bark beetles in Lower Saxony and Schleswig-Holstein.] </w:t>
      </w:r>
      <w:r>
        <w:rPr>
          <w:rFonts w:ascii="Calibri" w:hAnsi="Calibri" w:eastAsia="Calibri" w:cs="Calibri"/>
          <w:i/>
          <w:iCs/>
          <w:color w:val="000000"/>
          <w:sz w:val="22"/>
          <w:szCs w:val="22"/>
        </w:rPr>
        <w:t xml:space="preserve">Forst und Holz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114–115 (in German). </w:t>
      </w:r>
    </w:p>
    <w:p>
      <w:pPr>
        <w:widowControl w:val="on"/>
        <w:pBdr/>
        <w:spacing w:before="220" w:after="220" w:line="240" w:lineRule="auto"/>
        <w:ind w:left="0" w:right="0"/>
        <w:jc w:val="left"/>
      </w:pPr>
      <w:r>
        <w:rPr>
          <w:rFonts w:ascii="Calibri" w:hAnsi="Calibri" w:eastAsia="Calibri" w:cs="Calibri"/>
          <w:color w:val="000000"/>
          <w:sz w:val="22"/>
          <w:szCs w:val="22"/>
        </w:rPr>
        <w:t xml:space="preserve">Pfeffer A (1995) Zentral- und Westpaläarktische Borken- und Kernkäfer (Coleoptera: Scolytidae, Platypodidae). </w:t>
      </w:r>
      <w:r>
        <w:rPr>
          <w:rFonts w:ascii="Calibri" w:hAnsi="Calibri" w:eastAsia="Calibri" w:cs="Calibri"/>
          <w:i/>
          <w:iCs/>
          <w:color w:val="000000"/>
          <w:sz w:val="22"/>
          <w:szCs w:val="22"/>
        </w:rPr>
        <w:t xml:space="preserve">Entomologica Basiliensia</w:t>
      </w:r>
      <w:r>
        <w:rPr>
          <w:rFonts w:ascii="Calibri" w:hAnsi="Calibri" w:eastAsia="Calibri" w:cs="Calibri"/>
          <w:color w:val="000000"/>
          <w:sz w:val="22"/>
          <w:szCs w:val="22"/>
        </w:rPr>
        <w:t xml:space="preserve">, Bd. 17. p. 5–310.</w:t>
      </w:r>
    </w:p>
    <w:p>
      <w:pPr>
        <w:widowControl w:val="on"/>
        <w:pBdr/>
        <w:spacing w:before="220" w:after="220" w:line="240" w:lineRule="auto"/>
        <w:ind w:left="0" w:right="0"/>
        <w:jc w:val="left"/>
      </w:pPr>
      <w:r>
        <w:rPr>
          <w:rFonts w:ascii="Calibri" w:hAnsi="Calibri" w:eastAsia="Calibri" w:cs="Calibri"/>
          <w:color w:val="000000"/>
          <w:sz w:val="22"/>
          <w:szCs w:val="22"/>
        </w:rPr>
        <w:t xml:space="preserve">Qiu HG, Fu WJ, Qi YT, He LF and Ling XD (1988) [Studies on the aggregation pheromone of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II. The relationship between aggregation behaviour and the host plant tree.] </w:t>
      </w:r>
      <w:r>
        <w:rPr>
          <w:rFonts w:ascii="Calibri" w:hAnsi="Calibri" w:eastAsia="Calibri" w:cs="Calibri"/>
          <w:i/>
          <w:iCs/>
          <w:color w:val="000000"/>
          <w:sz w:val="22"/>
          <w:szCs w:val="22"/>
        </w:rPr>
        <w:t xml:space="preserve">Contributions from Shanghai Institute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67–72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Rebenstorff H. and Francke W. (1982) [The large larch bark beetle: monitoring with attractants?] </w:t>
      </w:r>
      <w:r>
        <w:rPr>
          <w:rFonts w:ascii="Calibri" w:hAnsi="Calibri" w:eastAsia="Calibri" w:cs="Calibri"/>
          <w:i/>
          <w:iCs/>
          <w:color w:val="000000"/>
          <w:sz w:val="22"/>
          <w:szCs w:val="22"/>
        </w:rPr>
        <w:t xml:space="preserve">Allgemeine Forst Zeitschrift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450.</w:t>
      </w:r>
    </w:p>
    <w:p>
      <w:pPr>
        <w:widowControl w:val="on"/>
        <w:pBdr/>
        <w:spacing w:before="220" w:after="220" w:line="240" w:lineRule="auto"/>
        <w:ind w:left="0" w:right="0"/>
        <w:jc w:val="left"/>
      </w:pPr>
      <w:r>
        <w:rPr>
          <w:rFonts w:ascii="Calibri" w:hAnsi="Calibri" w:eastAsia="Calibri" w:cs="Calibri"/>
          <w:color w:val="000000"/>
          <w:sz w:val="22"/>
          <w:szCs w:val="22"/>
        </w:rPr>
        <w:t xml:space="preserve">Redfern DB, Stoakley JT, Steele H and Minter DW (1987) Dieback and death of larch caused by </w:t>
      </w:r>
      <w:r>
        <w:rPr>
          <w:rFonts w:ascii="Calibri" w:hAnsi="Calibri" w:eastAsia="Calibri" w:cs="Calibri"/>
          <w:i/>
          <w:iCs/>
          <w:color w:val="000000"/>
          <w:sz w:val="22"/>
          <w:szCs w:val="22"/>
        </w:rPr>
        <w:t xml:space="preserve">Ceratocystis laricicola</w:t>
      </w:r>
      <w:r>
        <w:rPr>
          <w:rFonts w:ascii="Calibri" w:hAnsi="Calibri" w:eastAsia="Calibri" w:cs="Calibri"/>
          <w:color w:val="000000"/>
          <w:sz w:val="22"/>
          <w:szCs w:val="22"/>
        </w:rPr>
        <w:t xml:space="preserve"> sp. nov. following attack by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467-480.</w:t>
      </w:r>
    </w:p>
    <w:p>
      <w:pPr>
        <w:widowControl w:val="on"/>
        <w:pBdr/>
        <w:spacing w:before="220" w:after="220" w:line="240" w:lineRule="auto"/>
        <w:ind w:left="0" w:right="0"/>
        <w:jc w:val="left"/>
      </w:pPr>
      <w:r>
        <w:rPr>
          <w:rFonts w:ascii="Calibri" w:hAnsi="Calibri" w:eastAsia="Calibri" w:cs="Calibri"/>
          <w:color w:val="000000"/>
          <w:sz w:val="22"/>
          <w:szCs w:val="22"/>
        </w:rPr>
        <w:t xml:space="preserve">Schneider HJ (1977) [Experience in the control of the large larch bark beetle in stands of low vitality.] </w:t>
      </w:r>
      <w:r>
        <w:rPr>
          <w:rFonts w:ascii="Calibri" w:hAnsi="Calibri" w:eastAsia="Calibri" w:cs="Calibri"/>
          <w:i/>
          <w:iCs/>
          <w:color w:val="000000"/>
          <w:sz w:val="22"/>
          <w:szCs w:val="22"/>
        </w:rPr>
        <w:t xml:space="preserve">Allgemeine Forst Zeitschrift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1115–1116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Stoakely JT, Bakke A, Renwick JAA and Vité JP (1977) The aggregation pheromone system of the larch bark beetle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Heer. </w:t>
      </w:r>
      <w:r>
        <w:rPr>
          <w:rFonts w:ascii="Calibri" w:hAnsi="Calibri" w:eastAsia="Calibri" w:cs="Calibri"/>
          <w:i/>
          <w:iCs/>
          <w:color w:val="000000"/>
          <w:sz w:val="22"/>
          <w:szCs w:val="22"/>
        </w:rPr>
        <w:t xml:space="preserve">Zeitschrift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174-177.</w:t>
      </w:r>
    </w:p>
    <w:p>
      <w:pPr>
        <w:widowControl w:val="on"/>
        <w:pBdr/>
        <w:spacing w:before="220" w:after="220" w:line="240" w:lineRule="auto"/>
        <w:ind w:left="0" w:right="0"/>
        <w:jc w:val="left"/>
      </w:pPr>
      <w:r>
        <w:rPr>
          <w:rFonts w:ascii="Calibri" w:hAnsi="Calibri" w:eastAsia="Calibri" w:cs="Calibri"/>
          <w:color w:val="000000"/>
          <w:sz w:val="22"/>
          <w:szCs w:val="22"/>
        </w:rPr>
        <w:t xml:space="preserve">Stauffer C, Kirisits T, Nussbaumer C, Pavlin R and Wingfield MJ (2001) Phylogenetic relationships between the European and Asian eight-spined larch bark beetle populations (Coleoptera, Scolytidae) inferred from DNA sequences and fungal associates. </w:t>
      </w:r>
      <w:r>
        <w:rPr>
          <w:rFonts w:ascii="Calibri" w:hAnsi="Calibri" w:eastAsia="Calibri" w:cs="Calibri"/>
          <w:i/>
          <w:iCs/>
          <w:color w:val="000000"/>
          <w:sz w:val="22"/>
          <w:szCs w:val="22"/>
        </w:rPr>
        <w:t xml:space="preserve">European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99–105.</w:t>
      </w:r>
    </w:p>
    <w:p>
      <w:pPr>
        <w:widowControl w:val="on"/>
        <w:pBdr/>
        <w:spacing w:before="220" w:after="220" w:line="240" w:lineRule="auto"/>
        <w:ind w:left="0" w:right="0"/>
        <w:jc w:val="left"/>
      </w:pPr>
      <w:r>
        <w:rPr>
          <w:rFonts w:ascii="Calibri" w:hAnsi="Calibri" w:eastAsia="Calibri" w:cs="Calibri"/>
          <w:color w:val="000000"/>
          <w:sz w:val="22"/>
          <w:szCs w:val="22"/>
        </w:rPr>
        <w:t xml:space="preserve">Vorontsov AI (1995) [Forest Entomology], 5th edn. Ekologiya, Moscow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Wang Z, Liu Y, Wang H, Meng X, Liu X, Decock C, Zhang X and Lu Q (2020) Ophiostomatoid fungi associated with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including eight new species from northeastern China. </w:t>
      </w:r>
      <w:r>
        <w:rPr>
          <w:rFonts w:ascii="Calibri" w:hAnsi="Calibri" w:eastAsia="Calibri" w:cs="Calibri"/>
          <w:i/>
          <w:iCs/>
          <w:color w:val="000000"/>
          <w:sz w:val="22"/>
          <w:szCs w:val="22"/>
        </w:rPr>
        <w:t xml:space="preserve">IMA Fungus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 </w:t>
      </w:r>
      <w:hyperlink r:id="rId61236a66551b3840d" w:history="1">
        <w:r>
          <w:rPr>
            <w:rFonts w:ascii="Calibri" w:hAnsi="Calibri" w:eastAsia="Calibri" w:cs="Calibri"/>
            <w:color w:val="0000CC"/>
            <w:sz w:val="22"/>
            <w:szCs w:val="22"/>
            <w:u w:val="single"/>
          </w:rPr>
          <w:t xml:space="preserve">https://doi.org/10.1186/s43008-019-0025-3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Yamaoka Y, Wingfield MJ, Ohsawa M and Kuroda Y (1998) Ophiostomatoid fungi associated with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in Japan and their pathogenicity to Japanese larch. </w:t>
      </w:r>
      <w:r>
        <w:rPr>
          <w:rFonts w:ascii="Calibri" w:hAnsi="Calibri" w:eastAsia="Calibri" w:cs="Calibri"/>
          <w:i/>
          <w:iCs/>
          <w:color w:val="000000"/>
          <w:sz w:val="22"/>
          <w:szCs w:val="22"/>
        </w:rPr>
        <w:t xml:space="preserve">Mycoscience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367–378.</w:t>
      </w:r>
    </w:p>
    <w:p>
      <w:pPr>
        <w:widowControl w:val="on"/>
        <w:pBdr/>
        <w:spacing w:before="220" w:after="220" w:line="240" w:lineRule="auto"/>
        <w:ind w:left="0" w:right="0"/>
        <w:jc w:val="left"/>
      </w:pPr>
      <w:r>
        <w:rPr>
          <w:rFonts w:ascii="Calibri" w:hAnsi="Calibri" w:eastAsia="Calibri" w:cs="Calibri"/>
          <w:color w:val="000000"/>
          <w:sz w:val="22"/>
          <w:szCs w:val="22"/>
        </w:rPr>
        <w:t xml:space="preserve">Yu CM, Guo SP and Cheng DJ (1984) [Study of the larch bark beetle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North Eastern Forestry Institute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27–39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Zhang QH, Birgersson G, Schlyter F and Chen GF (2000) Pheromone components in the larch bark beetle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from China: quantitative variation among attack phases and individuals. </w:t>
      </w:r>
      <w:r>
        <w:rPr>
          <w:rFonts w:ascii="Calibri" w:hAnsi="Calibri" w:eastAsia="Calibri" w:cs="Calibri"/>
          <w:i/>
          <w:iCs/>
          <w:color w:val="000000"/>
          <w:sz w:val="22"/>
          <w:szCs w:val="22"/>
        </w:rPr>
        <w:t xml:space="preserve">Journal of Chemical Ecology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841–858.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Dr Oleg Kulinich (All-Russian Center for Plant Quarantine).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EPPO datasheets on pests recommended for regulation. Available online. </w:t>
      </w:r>
      <w:hyperlink r:id="rId42956a66551b3864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445-449. </w:t>
      </w:r>
      <w:hyperlink r:id="rId65756a66551b38733" w:history="1">
        <w:r>
          <w:rPr>
            <w:rFonts w:ascii="Calibri" w:hAnsi="Calibri" w:eastAsia="Calibri" w:cs="Calibri"/>
            <w:color w:val="0000CC"/>
            <w:sz w:val="22"/>
            <w:szCs w:val="22"/>
            <w:u w:val="single"/>
          </w:rPr>
          <w:t xml:space="preserve">https://doi.org/10.1111/j.1365-2338.2005.00880.x</w:t>
        </w:r>
      </w:hyperlink>
    </w:p>
    <w:p>
      <w:r>
        <w:drawing>
          <wp:inline distT="0" distB="0" distL="0" distR="0">
            <wp:extent cx="1800000" cy="604800"/>
            <wp:docPr id="21160563" name="name90366a66551b387c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7506a66551b387c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199640">
    <w:multiLevelType w:val="hybridMultilevel"/>
    <w:lvl w:ilvl="0" w:tplc="30836713">
      <w:start w:val="1"/>
      <w:numFmt w:val="decimal"/>
      <w:lvlText w:val="%1."/>
      <w:lvlJc w:val="left"/>
      <w:pPr>
        <w:ind w:left="720" w:hanging="360"/>
      </w:pPr>
    </w:lvl>
    <w:lvl w:ilvl="1" w:tplc="30836713" w:tentative="1">
      <w:start w:val="1"/>
      <w:numFmt w:val="lowerLetter"/>
      <w:lvlText w:val="%2."/>
      <w:lvlJc w:val="left"/>
      <w:pPr>
        <w:ind w:left="1440" w:hanging="360"/>
      </w:pPr>
    </w:lvl>
    <w:lvl w:ilvl="2" w:tplc="30836713" w:tentative="1">
      <w:start w:val="1"/>
      <w:numFmt w:val="lowerRoman"/>
      <w:lvlText w:val="%3."/>
      <w:lvlJc w:val="right"/>
      <w:pPr>
        <w:ind w:left="2160" w:hanging="180"/>
      </w:pPr>
    </w:lvl>
    <w:lvl w:ilvl="3" w:tplc="30836713" w:tentative="1">
      <w:start w:val="1"/>
      <w:numFmt w:val="decimal"/>
      <w:lvlText w:val="%4."/>
      <w:lvlJc w:val="left"/>
      <w:pPr>
        <w:ind w:left="2880" w:hanging="360"/>
      </w:pPr>
    </w:lvl>
    <w:lvl w:ilvl="4" w:tplc="30836713" w:tentative="1">
      <w:start w:val="1"/>
      <w:numFmt w:val="lowerLetter"/>
      <w:lvlText w:val="%5."/>
      <w:lvlJc w:val="left"/>
      <w:pPr>
        <w:ind w:left="3600" w:hanging="360"/>
      </w:pPr>
    </w:lvl>
    <w:lvl w:ilvl="5" w:tplc="30836713" w:tentative="1">
      <w:start w:val="1"/>
      <w:numFmt w:val="lowerRoman"/>
      <w:lvlText w:val="%6."/>
      <w:lvlJc w:val="right"/>
      <w:pPr>
        <w:ind w:left="4320" w:hanging="180"/>
      </w:pPr>
    </w:lvl>
    <w:lvl w:ilvl="6" w:tplc="30836713" w:tentative="1">
      <w:start w:val="1"/>
      <w:numFmt w:val="decimal"/>
      <w:lvlText w:val="%7."/>
      <w:lvlJc w:val="left"/>
      <w:pPr>
        <w:ind w:left="5040" w:hanging="360"/>
      </w:pPr>
    </w:lvl>
    <w:lvl w:ilvl="7" w:tplc="30836713" w:tentative="1">
      <w:start w:val="1"/>
      <w:numFmt w:val="lowerLetter"/>
      <w:lvlText w:val="%8."/>
      <w:lvlJc w:val="left"/>
      <w:pPr>
        <w:ind w:left="5760" w:hanging="360"/>
      </w:pPr>
    </w:lvl>
    <w:lvl w:ilvl="8" w:tplc="30836713" w:tentative="1">
      <w:start w:val="1"/>
      <w:numFmt w:val="lowerRoman"/>
      <w:lvlText w:val="%9."/>
      <w:lvlJc w:val="right"/>
      <w:pPr>
        <w:ind w:left="6480" w:hanging="180"/>
      </w:pPr>
    </w:lvl>
  </w:abstractNum>
  <w:abstractNum w:abstractNumId="98199639">
    <w:multiLevelType w:val="hybridMultilevel"/>
    <w:lvl w:ilvl="0" w:tplc="480299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199639">
    <w:abstractNumId w:val="98199639"/>
  </w:num>
  <w:num w:numId="98199640">
    <w:abstractNumId w:val="9819964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5050320" Type="http://schemas.microsoft.com/office/2011/relationships/commentsExtended" Target="commentsExtended.xml"/><Relationship Id="rId684336955" Type="http://schemas.microsoft.com/office/2011/relationships/people" Target="people.xml"/><Relationship Id="rId85846a66551b34b5b" Type="http://schemas.openxmlformats.org/officeDocument/2006/relationships/hyperlink" Target="https://gd.eppo.int/taxon/IPSXFA/" TargetMode="External"/><Relationship Id="rId54596a66551b34bb7" Type="http://schemas.openxmlformats.org/officeDocument/2006/relationships/hyperlink" Target="https://gd.eppo.int/taxon/IPSXFA/categorization" TargetMode="External"/><Relationship Id="rId42016a66551b352f4" Type="http://schemas.openxmlformats.org/officeDocument/2006/relationships/hyperlink" Target="https://gd.eppo.int/taxon/IPSXFA/photos" TargetMode="External"/><Relationship Id="rId28926a66551b377b3" Type="http://schemas.openxmlformats.org/officeDocument/2006/relationships/hyperlink" Target="https://www.cabi.org/isc/datasheet/28841" TargetMode="External"/><Relationship Id="rId77246a66551b37921" Type="http://schemas.openxmlformats.org/officeDocument/2006/relationships/hyperlink" Target="http://cjai.biologicalsurvey.ca/dcgs_38/dcgs_38.html" TargetMode="External"/><Relationship Id="rId66976a66551b379b7" Type="http://schemas.openxmlformats.org/officeDocument/2006/relationships/hyperlink" Target="https://doi.org/10.2903/j.efsa.2017.5039" TargetMode="External"/><Relationship Id="rId36526a66551b37a79" Type="http://schemas.openxmlformats.org/officeDocument/2006/relationships/hyperlink" Target="https://doi.org/10.1111/j.1365-2338.2005.00880.x" TargetMode="External"/><Relationship Id="rId87116a66551b37be8" Type="http://schemas.openxmlformats.org/officeDocument/2006/relationships/hyperlink" Target="https://gd.eppo.int/taxon/IPSXCE/datasheet" TargetMode="External"/><Relationship Id="rId76096a66551b37f2d" Type="http://schemas.openxmlformats.org/officeDocument/2006/relationships/hyperlink" Target="https://doi.org/10.1093/ee/nvz105" TargetMode="External"/><Relationship Id="rId61236a66551b3840d" Type="http://schemas.openxmlformats.org/officeDocument/2006/relationships/hyperlink" Target="https://doi.org/10.1186/s43008-019-0025-3" TargetMode="External"/><Relationship Id="rId42956a66551b38645" Type="http://schemas.openxmlformats.org/officeDocument/2006/relationships/hyperlink" Target="https://gd.eppo.int" TargetMode="External"/><Relationship Id="rId65756a66551b38733" Type="http://schemas.openxmlformats.org/officeDocument/2006/relationships/hyperlink" Target="https://doi.org/10.1111/j.1365-2338.2005.00880.x" TargetMode="External"/><Relationship Id="rId44206a66551b351c1" Type="http://schemas.openxmlformats.org/officeDocument/2006/relationships/image" Target="media/imgrId44206a66551b351c1.jpg"/><Relationship Id="rId99716a66551b363b5" Type="http://schemas.openxmlformats.org/officeDocument/2006/relationships/image" Target="media/imgrId99716a66551b363b5.jpg"/><Relationship Id="rId57506a66551b387c2" Type="http://schemas.openxmlformats.org/officeDocument/2006/relationships/image" Target="media/imgrId57506a66551b387c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