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Ips amitinus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2020-06-10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Ips amitinus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(Eichhoff)</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Ips amitinus montanus</w:t>
            </w:r>
            <w:r>
              <w:rPr>
                <w:rFonts w:ascii="Calibri" w:hAnsi="Calibri" w:eastAsia="Calibri" w:cs="Calibri"/>
                <w:color w:val="000000"/>
                <w:position w:val="-3"/>
                <w:sz w:val="22"/>
                <w:szCs w:val="22"/>
              </w:rPr>
              <w:t xml:space="preserve"> Fuchs, </w:t>
            </w:r>
            <w:r>
              <w:rPr>
                <w:rFonts w:ascii="Calibri" w:hAnsi="Calibri" w:eastAsia="Calibri" w:cs="Calibri"/>
                <w:i/>
                <w:iCs/>
                <w:color w:val="000000"/>
                <w:position w:val="-3"/>
                <w:sz w:val="22"/>
                <w:szCs w:val="22"/>
              </w:rPr>
              <w:t xml:space="preserve">Ips helveticus</w:t>
            </w:r>
            <w:r>
              <w:rPr>
                <w:rFonts w:ascii="Calibri" w:hAnsi="Calibri" w:eastAsia="Calibri" w:cs="Calibri"/>
                <w:color w:val="000000"/>
                <w:position w:val="-3"/>
                <w:sz w:val="22"/>
                <w:szCs w:val="22"/>
              </w:rPr>
              <w:t xml:space="preserve"> Schedl, </w:t>
            </w:r>
            <w:r>
              <w:rPr>
                <w:rFonts w:ascii="Calibri" w:hAnsi="Calibri" w:eastAsia="Calibri" w:cs="Calibri"/>
                <w:i/>
                <w:iCs/>
                <w:color w:val="000000"/>
                <w:position w:val="-3"/>
                <w:sz w:val="22"/>
                <w:szCs w:val="22"/>
              </w:rPr>
              <w:t xml:space="preserve">Tomicus amitinus</w:t>
            </w:r>
            <w:r>
              <w:rPr>
                <w:rFonts w:ascii="Calibri" w:hAnsi="Calibri" w:eastAsia="Calibri" w:cs="Calibri"/>
                <w:color w:val="000000"/>
                <w:position w:val="-3"/>
                <w:sz w:val="22"/>
                <w:szCs w:val="22"/>
              </w:rPr>
              <w:t xml:space="preserve"> Eichhoff</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eight-toothed spruce bark beetle, small spruce bark beetle</w:t>
            </w:r>
            <w:hyperlink r:id="rId45756ab045cdce00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A1/A2 (formerly)</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15636ab045cdce08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IPSXAM</w:t>
            </w:r>
          </w:p>
        </w:tc>
        <w:tc>
          <w:tcPr>
            <w:tcW w:w="2000" w:type="pct"/>
            <w:tcMar>
              <w:top w:w="15" w:type="dxa"/>
              <w:left w:w="15" w:type="dxa"/>
              <w:bottom w:w="15" w:type="dxa"/>
              <w:right w:w="15" w:type="dxa"/>
            </w:tcMar>
            <w:vAlign w:val="center"/>
          </w:tcPr>
          <w:p>
            <w:r>
              <w:rPr>
                <w:position w:val="-84"/>
              </w:rPr>
              <w:drawing>
                <wp:inline distT="0" distB="0" distL="0" distR="0">
                  <wp:extent cx="2160000" cy="1130400"/>
                  <wp:docPr id="44308550" name="name68886ab045cdce7e7" descr="161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133.jpg"/>
                          <pic:cNvPicPr/>
                        </pic:nvPicPr>
                        <pic:blipFill>
                          <a:blip r:embed="rId10826ab045cdce7e5" cstate="print"/>
                          <a:stretch>
                            <a:fillRect/>
                          </a:stretch>
                        </pic:blipFill>
                        <pic:spPr>
                          <a:xfrm>
                            <a:off x="0" y="0"/>
                            <a:ext cx="2160000" cy="1130400"/>
                          </a:xfrm>
                          <a:prstGeom prst="rect">
                            <a:avLst/>
                          </a:prstGeom>
                          <a:ln w="0">
                            <a:noFill/>
                          </a:ln>
                        </pic:spPr>
                      </pic:pic>
                    </a:graphicData>
                  </a:graphic>
                </wp:inline>
              </w:drawing>
            </w:r>
            <w:hyperlink r:id="rId99506ab045cdce903"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are the main hosts in the northern parts of Europe (</w:t>
      </w:r>
      <w:r>
        <w:rPr>
          <w:rFonts w:ascii="Calibri" w:hAnsi="Calibri" w:eastAsia="Calibri" w:cs="Calibri"/>
          <w:i/>
          <w:iCs/>
          <w:color w:val="000000"/>
          <w:sz w:val="22"/>
          <w:szCs w:val="22"/>
        </w:rPr>
        <w:t xml:space="preserve">P. abies</w:t>
      </w:r>
      <w:r>
        <w:rPr>
          <w:rFonts w:ascii="Calibri" w:hAnsi="Calibri" w:eastAsia="Calibri" w:cs="Calibri"/>
          <w:color w:val="000000"/>
          <w:sz w:val="22"/>
          <w:szCs w:val="22"/>
        </w:rPr>
        <w:t xml:space="preserve"> is strongly preferred; Witrylak, 2008). Other species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such as </w:t>
      </w:r>
      <w:r>
        <w:rPr>
          <w:rFonts w:ascii="Calibri" w:hAnsi="Calibri" w:eastAsia="Calibri" w:cs="Calibri"/>
          <w:i/>
          <w:iCs/>
          <w:color w:val="000000"/>
          <w:sz w:val="22"/>
          <w:szCs w:val="22"/>
        </w:rPr>
        <w:t xml:space="preserve">P. cembra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mugo</w:t>
      </w:r>
      <w:r>
        <w:rPr>
          <w:rFonts w:ascii="Calibri" w:hAnsi="Calibri" w:eastAsia="Calibri" w:cs="Calibri"/>
          <w:color w:val="000000"/>
          <w:sz w:val="22"/>
          <w:szCs w:val="22"/>
        </w:rPr>
        <w:t xml:space="preserve"> may also serve as important hosts. Galleries have also been recorded on </w:t>
      </w:r>
      <w:r>
        <w:rPr>
          <w:rFonts w:ascii="Calibri" w:hAnsi="Calibri" w:eastAsia="Calibri" w:cs="Calibri"/>
          <w:i/>
          <w:iCs/>
          <w:color w:val="000000"/>
          <w:sz w:val="22"/>
          <w:szCs w:val="22"/>
        </w:rPr>
        <w:t xml:space="preserve">Abies alba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omorika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 subsp. uncinata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mugo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peuce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is widely distributed in Western and Central Europe and currently expanding its range northward (Økland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In 2019, its first outbreak was recorded in Western Siberia (Kerchev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r>
        <w:drawing>
          <wp:inline distT="0" distB="0" distL="0" distR="0">
            <wp:extent cx="6120000" cy="3067200"/>
            <wp:docPr id="20391031" name="name97586ab045cdcf973" descr="IPSXAM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SXAM_distribution_map.jpg"/>
                    <pic:cNvPicPr/>
                  </pic:nvPicPr>
                  <pic:blipFill>
                    <a:blip r:embed="rId48346ab045cdcf97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Bosnia and Herzegovina, Bulgaria, Croatia, Czechia, Denmark, Estonia, Finland, France (mainland), Germany, Hungary, Italy (mainland), Latvia, Lithuania, Montenegro, North Macedonia, Poland, Romania, Russian Federation (Central Russia, Northern Russia, Western Siberia), Serbia, Slovakia, Slovenia, Sweden, Switzerland, Tunisia, Ukraine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Tunisia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 western Europe, the flight starts in May-June. Males initiate galleries in weak or dying trees or in wind-felled trees and produce a pheromone consisting of ipsenol, ipsdienol and trans-2-methyl-6-methylene-3,7-octadien-2-ol (amitinol) (Francke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In most areas populations are univoltine. The new generation emerges and lay eggs in June-August depending on latitude and altitude. Sister broods may occur (that is, when parent beetles leave the tree after having successfully reproduced and form galleries, and lay new portion of eggs under the bark of another tree). A second generation can develop in lowland areas. Beetles hibernate in the decaying vegetation on the forest floor (the 'duff' layer).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prefers trees with minimal shading or in direct sunlight with the following characteristics: over 40 years old, 21-30 cm diameter at breast height-, ≥15 m in height (Witrylak, 2008). The species readily infests trees which have been damaged or overturned by wind and/or snow as well as trees felled some time ago or standing dying trees which have been attacked by </w:t>
      </w:r>
      <w:r>
        <w:rPr>
          <w:rFonts w:ascii="Calibri" w:hAnsi="Calibri" w:eastAsia="Calibri" w:cs="Calibri"/>
          <w:i/>
          <w:iCs/>
          <w:color w:val="000000"/>
          <w:sz w:val="22"/>
          <w:szCs w:val="22"/>
        </w:rPr>
        <w:t xml:space="preserve">Armillaria</w:t>
      </w:r>
      <w:r>
        <w:rPr>
          <w:rFonts w:ascii="Calibri" w:hAnsi="Calibri" w:eastAsia="Calibri" w:cs="Calibri"/>
          <w:color w:val="000000"/>
          <w:sz w:val="22"/>
          <w:szCs w:val="22"/>
        </w:rPr>
        <w:t xml:space="preserve"> root rot (Witrylak, 2008).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is a polygamous species, and therefore the male attracts more than one female. It is noted that a complex of pathogenic ophiostomoid fungi (including </w:t>
      </w:r>
      <w:r>
        <w:rPr>
          <w:rFonts w:ascii="Calibri" w:hAnsi="Calibri" w:eastAsia="Calibri" w:cs="Calibri"/>
          <w:i/>
          <w:iCs/>
          <w:color w:val="000000"/>
          <w:sz w:val="22"/>
          <w:szCs w:val="22"/>
        </w:rPr>
        <w:t xml:space="preserve">Endoconidiophora polonica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Graphium ﬁmbriisporum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Ophiostoma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Ophiostoma brunneo-ciliatum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Ophiostoma penicillatum</w:t>
      </w:r>
      <w:r>
        <w:rPr>
          <w:rFonts w:ascii="Calibri" w:hAnsi="Calibri" w:eastAsia="Calibri" w:cs="Calibri"/>
          <w:color w:val="000000"/>
          <w:sz w:val="22"/>
          <w:szCs w:val="22"/>
        </w:rPr>
        <w:t xml:space="preserve"> among others) is associated with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(Kirisits, 2004; Repe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2018; Kerchev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prefers to breed in smaller-sized material, often in the upper part of weakened trees or trees infested and killed by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Pityogenes chalcographus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Pityophthorus pityographus</w:t>
      </w:r>
      <w:r>
        <w:rPr>
          <w:rFonts w:ascii="Calibri" w:hAnsi="Calibri" w:eastAsia="Calibri" w:cs="Calibri"/>
          <w:color w:val="000000"/>
          <w:sz w:val="22"/>
          <w:szCs w:val="22"/>
        </w:rPr>
        <w:t xml:space="preserve"> (Ratz.), or </w:t>
      </w:r>
      <w:r>
        <w:rPr>
          <w:rFonts w:ascii="Calibri" w:hAnsi="Calibri" w:eastAsia="Calibri" w:cs="Calibri"/>
          <w:i/>
          <w:iCs/>
          <w:color w:val="000000"/>
          <w:sz w:val="22"/>
          <w:szCs w:val="22"/>
        </w:rPr>
        <w:t xml:space="preserve">Polygraphus polygraphus</w:t>
      </w:r>
      <w:r>
        <w:rPr>
          <w:rFonts w:ascii="Calibri" w:hAnsi="Calibri" w:eastAsia="Calibri" w:cs="Calibri"/>
          <w:color w:val="000000"/>
          <w:sz w:val="22"/>
          <w:szCs w:val="22"/>
        </w:rPr>
        <w:t xml:space="preserve"> (L.) (EPPO/CABI, 1996; Witrylak, 2008). Galleries are formed by the beetles beneath the bark of the attacked tree. There are three to five (seldom up to seven) females in a family gallery. Females construct their own female-galleries or egg-galleries (as branches starting from the nuptial chamber) as a star shape spreading out from the central nuptial chamber (whereas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makes only two or three galleries). The arms tend to bend and become longitudinal, running in opposite directions (Chararas, 1962). Brood (=larval) galleries of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were found in stem sections 2-27 cm in diameter, but sections 8-15 cm in diameter were most frequently colonized by this species. Sections with the 2-3 mm thick bark were preferred (Witrylak,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Beetles are dark-brown and 3.5-5.0 mm long. The elytral declivity has four spines at each side, the third is the largest and distinctly capitate. The declivity is shiny, with distinct punctures (Balachowsky, 1949; Grüne, 1979; IPPC, 2018; Kerchev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Laboratory experiments have shown that adult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spp. can fly continuously for several hours. In the field, however, flight has only been observed to take place over limited distances and then usually downwind. Beetles have been found in the stomach of trout in lakes 35 km from the nearest spruce forest, which were probably carried by the wind (Nilssen, 1978). Dispersal over longer distances depends on transportation under the bark of different wood commodities and wood packaging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is of limited significance as a pest in its own right. Compared with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which shares several of the same hosts (EPPO/CABI, 1996), it is hardly mentioned in the scientific literature. However, because </w:t>
      </w:r>
      <w:r>
        <w:rPr>
          <w:rFonts w:ascii="Calibri" w:hAnsi="Calibri" w:eastAsia="Calibri" w:cs="Calibri"/>
          <w:i/>
          <w:iCs/>
          <w:color w:val="000000"/>
          <w:sz w:val="22"/>
          <w:szCs w:val="22"/>
        </w:rPr>
        <w:t xml:space="preserve">I. amitinus </w:t>
      </w:r>
      <w:r>
        <w:rPr>
          <w:rFonts w:ascii="Calibri" w:hAnsi="Calibri" w:eastAsia="Calibri" w:cs="Calibri"/>
          <w:color w:val="000000"/>
          <w:sz w:val="22"/>
          <w:szCs w:val="22"/>
        </w:rPr>
        <w:t xml:space="preserve">is often present together with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it may contribute to the killing of trees during outbreaks of </w:t>
      </w:r>
      <w:r>
        <w:rPr>
          <w:rFonts w:ascii="Calibri" w:hAnsi="Calibri" w:eastAsia="Calibri" w:cs="Calibri"/>
          <w:i/>
          <w:iCs/>
          <w:color w:val="000000"/>
          <w:sz w:val="22"/>
          <w:szCs w:val="22"/>
        </w:rPr>
        <w:t xml:space="preserve">I. typographus </w:t>
      </w:r>
      <w:r>
        <w:rPr>
          <w:rFonts w:ascii="Calibri" w:hAnsi="Calibri" w:eastAsia="Calibri" w:cs="Calibri"/>
          <w:color w:val="000000"/>
          <w:sz w:val="22"/>
          <w:szCs w:val="22"/>
        </w:rPr>
        <w:t xml:space="preserve">or coincided outbreaks of both species. In 2019, an outbreak of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(which started in 2017or 2018) was reported in Western Siberia (far from its natural range) where this species caused serious damage and finally killed stands of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within two years (Kerchev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Trap trees are suggested as a control tool against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(Witrylak, 2008). Other control measures have not been reported as being used against this species. It should be kept in mind that accumulation of trees that were felled, damaged, or overthrown during winter and early spring, and failing to remove them from the forest before spring flight of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can stimulate its intensive infestation because as well as the weakened standing trees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readily infests trees/material lying on the ground (Witrylak,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was the only European</w:t>
      </w:r>
      <w:r>
        <w:rPr>
          <w:rFonts w:ascii="Calibri" w:hAnsi="Calibri" w:eastAsia="Calibri" w:cs="Calibri"/>
          <w:i/>
          <w:iCs/>
          <w:color w:val="000000"/>
          <w:sz w:val="22"/>
          <w:szCs w:val="22"/>
        </w:rPr>
        <w:t xml:space="preserve"> Ips</w:t>
      </w:r>
      <w:r>
        <w:rPr>
          <w:rFonts w:ascii="Calibri" w:hAnsi="Calibri" w:eastAsia="Calibri" w:cs="Calibri"/>
          <w:color w:val="000000"/>
          <w:sz w:val="22"/>
          <w:szCs w:val="22"/>
        </w:rPr>
        <w:t xml:space="preserve"> sp. considered as an A2 pest recommended for regulation as a quarantine pest by EPPO (OEPP/EPPO, 1981), but it was decided in 1996 to delete it from the A2 List, because of its relative unimportance and the fact that too few countries attach any importance to it. It is not a primary pest and is only capable of attacking trees already suffering stress, either environmental or from other pests (usually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It should be mentioned, however, that several non-European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species are included in the EPPO A1 List of pests recommended for regulation as quarantine pests.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is widespread through central Europe where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are present, and northward range expansion to Nordic countries was recently recorded (Økland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Heliovaara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attempted to analyse the environmental constraints limiting scolytines in Scandinavia, and concluded that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was slowly spreading in Finland in relation to environmental change. No particular concern has been expressed about any risk arising from this spread. The recent outbreak in Western Siberia damaged valuable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stands. The outbreak was considered to be caused by unintended introduction of the pest with transport or wood materials/commodities (Kerchev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islands of Great Britain and Ireland remain as areas which may face a certain risk from this pest, with respect to recently planted </w:t>
      </w:r>
      <w:r>
        <w:rPr>
          <w:rFonts w:ascii="Calibri" w:hAnsi="Calibri" w:eastAsia="Calibri" w:cs="Calibri"/>
          <w:i/>
          <w:iCs/>
          <w:color w:val="000000"/>
          <w:sz w:val="22"/>
          <w:szCs w:val="22"/>
        </w:rPr>
        <w:t xml:space="preserve">Picea </w:t>
      </w:r>
      <w:r>
        <w:rPr>
          <w:rFonts w:ascii="Calibri" w:hAnsi="Calibri" w:eastAsia="Calibri" w:cs="Calibri"/>
          <w:color w:val="000000"/>
          <w:sz w:val="22"/>
          <w:szCs w:val="22"/>
        </w:rPr>
        <w:t xml:space="preserve">stands.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is unlikely to spread there by natural spread, so phytosanitary measures could be justified. However, it should be stressed that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is a very much less important pest than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(EPPO/CABI, 1996), and so presents a much lesser risk than that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Countries in which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is absent may require phytosanitary measures to be applied to the coniferous commodities imported from the areas where this pest is present. The following phytosanitary measures recommended by the EPPO Standard PM 8/2 (3) Coniferae are considered to be effective against bark beetles including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Plants for planting, cut branches (including cut Christmas trees), round wood or other parts of the host plants of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originating from the countries in which </w:t>
      </w:r>
      <w:r>
        <w:rPr>
          <w:rFonts w:ascii="Calibri" w:hAnsi="Calibri" w:eastAsia="Calibri" w:cs="Calibri"/>
          <w:i/>
          <w:iCs/>
          <w:color w:val="000000"/>
          <w:sz w:val="22"/>
          <w:szCs w:val="22"/>
        </w:rPr>
        <w:t xml:space="preserve">I. amitinus</w:t>
      </w:r>
      <w:r>
        <w:rPr>
          <w:rFonts w:ascii="Calibri" w:hAnsi="Calibri" w:eastAsia="Calibri" w:cs="Calibri"/>
          <w:color w:val="000000"/>
          <w:sz w:val="22"/>
          <w:szCs w:val="22"/>
        </w:rPr>
        <w:t xml:space="preserve"> is present should originate from a pest-free area. If not, the following phytosanitary measures are required to import round wood from the area where the pest is present: wood should be bark-free or heat-treated (EPPO, 2008a), or fumigated with appropriate fumigant, or treated with ionizing radiation (EPPO 2008b). Harvesting wood residues, processing wood residues, hogwood and wood chips of the host should be produced from debarked wood or heat-treated. The heat treatment is also required for import of isolated bark. Wood packaging materials should meet requirements of ISPM no. 15 (IPPC,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Balachowsky A (1949) </w:t>
      </w:r>
      <w:r>
        <w:rPr>
          <w:rFonts w:ascii="Calibri" w:hAnsi="Calibri" w:eastAsia="Calibri" w:cs="Calibri"/>
          <w:i/>
          <w:iCs/>
          <w:color w:val="000000"/>
          <w:sz w:val="22"/>
          <w:szCs w:val="22"/>
        </w:rPr>
        <w:t xml:space="preserve">Coleoptera, Scolytides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Faune de France</w:t>
      </w:r>
      <w:r>
        <w:rPr>
          <w:rFonts w:ascii="Calibri" w:hAnsi="Calibri" w:eastAsia="Calibri" w:cs="Calibri"/>
          <w:color w:val="000000"/>
          <w:sz w:val="22"/>
          <w:szCs w:val="22"/>
        </w:rPr>
        <w:t xml:space="preserve"> 50. P. Lechevalier, Paris (FR).</w:t>
      </w:r>
    </w:p>
    <w:p>
      <w:pPr>
        <w:widowControl w:val="on"/>
        <w:pBdr/>
        <w:spacing w:before="220" w:after="220" w:line="240" w:lineRule="auto"/>
        <w:ind w:left="0" w:right="0"/>
        <w:jc w:val="left"/>
      </w:pPr>
      <w:r>
        <w:rPr>
          <w:rFonts w:ascii="Calibri" w:hAnsi="Calibri" w:eastAsia="Calibri" w:cs="Calibri"/>
          <w:color w:val="000000"/>
          <w:sz w:val="22"/>
          <w:szCs w:val="22"/>
        </w:rPr>
        <w:t xml:space="preserve">Chararas C (1962) [A biological study of the scolytids of coniferous trees.]. In </w:t>
      </w:r>
      <w:r>
        <w:rPr>
          <w:rFonts w:ascii="Calibri" w:hAnsi="Calibri" w:eastAsia="Calibri" w:cs="Calibri"/>
          <w:i/>
          <w:iCs/>
          <w:color w:val="000000"/>
          <w:sz w:val="22"/>
          <w:szCs w:val="22"/>
        </w:rPr>
        <w:t xml:space="preserve">Encyclopédie Entomologique</w:t>
      </w:r>
      <w:r>
        <w:rPr>
          <w:rFonts w:ascii="Calibri" w:hAnsi="Calibri" w:eastAsia="Calibri" w:cs="Calibri"/>
          <w:color w:val="000000"/>
          <w:sz w:val="22"/>
          <w:szCs w:val="22"/>
        </w:rPr>
        <w:t xml:space="preserve"> 38. P. Lechevalier, Paris (FR).</w:t>
      </w:r>
    </w:p>
    <w:p>
      <w:pPr>
        <w:widowControl w:val="on"/>
        <w:pBdr/>
        <w:spacing w:before="220" w:after="220" w:line="240" w:lineRule="auto"/>
        <w:ind w:left="0" w:right="0"/>
        <w:jc w:val="left"/>
      </w:pPr>
      <w:r>
        <w:rPr>
          <w:rFonts w:ascii="Calibri" w:hAnsi="Calibri" w:eastAsia="Calibri" w:cs="Calibri"/>
          <w:color w:val="000000"/>
          <w:sz w:val="22"/>
          <w:szCs w:val="22"/>
        </w:rPr>
        <w:t xml:space="preserve">CIE (1975) </w:t>
      </w:r>
      <w:r>
        <w:rPr>
          <w:rFonts w:ascii="Calibri" w:hAnsi="Calibri" w:eastAsia="Calibri" w:cs="Calibri"/>
          <w:i/>
          <w:iCs/>
          <w:color w:val="000000"/>
          <w:sz w:val="22"/>
          <w:szCs w:val="22"/>
        </w:rPr>
        <w:t xml:space="preserve">Distribution Maps of Pests, Series A</w:t>
      </w:r>
      <w:r>
        <w:rPr>
          <w:rFonts w:ascii="Calibri" w:hAnsi="Calibri" w:eastAsia="Calibri" w:cs="Calibri"/>
          <w:color w:val="000000"/>
          <w:sz w:val="22"/>
          <w:szCs w:val="22"/>
        </w:rPr>
        <w:t xml:space="preserve"> No. 346.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(2008a) Standard PM 10/6 Heat treatment of wood to control insects and wood-borne nematodes.</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(2008b) Standard PM 10/8 Disinfestation of wood with ionizing radiation.</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Standard PM 8/2 (3) Coniferae. Bulletin OEPP/EPPO Bulletin 48 (3), 463–494 (https://onlinelibrary.wiley.com/doi/epdf/10.1111/epp.12503).</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(eds Smith IM, McNamara DG, Scott PR &amp;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(1981) Data sheets on quarantine organisms No. 112,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1-3.</w:t>
      </w:r>
    </w:p>
    <w:p>
      <w:pPr>
        <w:widowControl w:val="on"/>
        <w:pBdr/>
        <w:spacing w:before="220" w:after="220" w:line="240" w:lineRule="auto"/>
        <w:ind w:left="0" w:right="0"/>
        <w:jc w:val="left"/>
      </w:pPr>
      <w:r>
        <w:rPr>
          <w:rFonts w:ascii="Calibri" w:hAnsi="Calibri" w:eastAsia="Calibri" w:cs="Calibri"/>
          <w:color w:val="000000"/>
          <w:sz w:val="22"/>
          <w:szCs w:val="22"/>
        </w:rPr>
        <w:t xml:space="preserve">Francke W, Sauerwein P, Vité, JP, Klimetzek D (1980) The pheromone bouquet of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Naturwissenschaften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147-148. </w:t>
      </w:r>
      <w:hyperlink r:id="rId13666ab045cdd0767" w:history="1">
        <w:r>
          <w:rPr>
            <w:rFonts w:ascii="Calibri" w:hAnsi="Calibri" w:eastAsia="Calibri" w:cs="Calibri"/>
            <w:color w:val="0000CC"/>
            <w:sz w:val="22"/>
            <w:szCs w:val="22"/>
            <w:u w:val="single"/>
          </w:rPr>
          <w:t xml:space="preserve">https://doi.org/10.1007/BF01073623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Grüne S (1979) </w:t>
      </w:r>
      <w:r>
        <w:rPr>
          <w:rFonts w:ascii="Calibri" w:hAnsi="Calibri" w:eastAsia="Calibri" w:cs="Calibri"/>
          <w:i/>
          <w:iCs/>
          <w:color w:val="000000"/>
          <w:sz w:val="22"/>
          <w:szCs w:val="22"/>
        </w:rPr>
        <w:t xml:space="preserve">Brief illustrated key to European bark beetles</w:t>
      </w:r>
      <w:r>
        <w:rPr>
          <w:rFonts w:ascii="Calibri" w:hAnsi="Calibri" w:eastAsia="Calibri" w:cs="Calibri"/>
          <w:color w:val="000000"/>
          <w:sz w:val="22"/>
          <w:szCs w:val="22"/>
        </w:rPr>
        <w:t xml:space="preserve">. M &amp; H Schaper, Hannover (DE).</w:t>
      </w:r>
    </w:p>
    <w:p>
      <w:pPr>
        <w:widowControl w:val="on"/>
        <w:pBdr/>
        <w:spacing w:before="220" w:after="220" w:line="240" w:lineRule="auto"/>
        <w:ind w:left="0" w:right="0"/>
        <w:jc w:val="left"/>
      </w:pPr>
      <w:r>
        <w:rPr>
          <w:rFonts w:ascii="Calibri" w:hAnsi="Calibri" w:eastAsia="Calibri" w:cs="Calibri"/>
          <w:color w:val="000000"/>
          <w:sz w:val="22"/>
          <w:szCs w:val="22"/>
        </w:rPr>
        <w:t xml:space="preserve">Heliovaara K, Vaisanen R, Immonen A (1991) Quantitative biogeography of bark beetles (Coleoptera, Scolytidae) in northern Europe. </w:t>
      </w:r>
      <w:r>
        <w:rPr>
          <w:rFonts w:ascii="Calibri" w:hAnsi="Calibri" w:eastAsia="Calibri" w:cs="Calibri"/>
          <w:i/>
          <w:iCs/>
          <w:color w:val="000000"/>
          <w:sz w:val="22"/>
          <w:szCs w:val="22"/>
        </w:rPr>
        <w:t xml:space="preserve">Acta Forestalia Fennica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219</w:t>
      </w:r>
      <w:r>
        <w:rPr>
          <w:rFonts w:ascii="Calibri" w:hAnsi="Calibri" w:eastAsia="Calibri" w:cs="Calibri"/>
          <w:color w:val="000000"/>
          <w:sz w:val="22"/>
          <w:szCs w:val="22"/>
        </w:rPr>
        <w:t xml:space="preserve">, 1-35. </w:t>
      </w:r>
      <w:hyperlink r:id="rId64976ab045cdd081b" w:history="1">
        <w:r>
          <w:rPr>
            <w:rFonts w:ascii="Calibri" w:hAnsi="Calibri" w:eastAsia="Calibri" w:cs="Calibri"/>
            <w:color w:val="0000CC"/>
            <w:sz w:val="22"/>
            <w:szCs w:val="22"/>
            <w:u w:val="single"/>
          </w:rPr>
          <w:t xml:space="preserve">https://doi.org/10.14214/aff.7606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IPPC (2018) ISPM 27. Diagnostic protocols for regulated pests. DP 27: </w:t>
      </w:r>
      <w:r>
        <w:rPr>
          <w:rFonts w:ascii="Calibri" w:hAnsi="Calibri" w:eastAsia="Calibri" w:cs="Calibri"/>
          <w:i/>
          <w:iCs/>
          <w:color w:val="000000"/>
          <w:sz w:val="22"/>
          <w:szCs w:val="22"/>
        </w:rPr>
        <w:t xml:space="preserve">Ips </w:t>
      </w:r>
      <w:r>
        <w:rPr>
          <w:rFonts w:ascii="Calibri" w:hAnsi="Calibri" w:eastAsia="Calibri" w:cs="Calibri"/>
          <w:color w:val="000000"/>
          <w:sz w:val="22"/>
          <w:szCs w:val="22"/>
        </w:rPr>
        <w:t xml:space="preserve">spp. (International Plant Protection Convention DP 27-1).</w:t>
      </w:r>
    </w:p>
    <w:p>
      <w:pPr>
        <w:widowControl w:val="on"/>
        <w:pBdr/>
        <w:spacing w:before="220" w:after="220" w:line="240" w:lineRule="auto"/>
        <w:ind w:left="0" w:right="0"/>
        <w:jc w:val="left"/>
      </w:pPr>
      <w:r>
        <w:rPr>
          <w:rFonts w:ascii="Calibri" w:hAnsi="Calibri" w:eastAsia="Calibri" w:cs="Calibri"/>
          <w:color w:val="000000"/>
          <w:sz w:val="22"/>
          <w:szCs w:val="22"/>
        </w:rPr>
        <w:t xml:space="preserve">IPPC (2019) ISPM 15. Regulation of wood packaging material in international trade. FAO, Rome, 24 pp. </w:t>
      </w:r>
      <w:hyperlink r:id="rId17136ab045cdd088d" w:history="1">
        <w:r>
          <w:rPr>
            <w:rFonts w:ascii="Calibri" w:hAnsi="Calibri" w:eastAsia="Calibri" w:cs="Calibri"/>
            <w:color w:val="0000CC"/>
            <w:sz w:val="22"/>
            <w:szCs w:val="22"/>
            <w:u w:val="single"/>
          </w:rPr>
          <w:t xml:space="preserve">https://www.ippc.int/en/publications/640/</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Kerchev IA, Mandelshtam MY, Krivets SA &amp; Ilinsky YY (2019) Small spruce bark beetle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(Eichhoff, 1872) (Coleoptera, Curculionidae: Scolytinae): a new alien species in West Siberia. </w:t>
      </w:r>
      <w:r>
        <w:rPr>
          <w:rFonts w:ascii="Calibri" w:hAnsi="Calibri" w:eastAsia="Calibri" w:cs="Calibri"/>
          <w:i/>
          <w:iCs/>
          <w:color w:val="000000"/>
          <w:sz w:val="22"/>
          <w:szCs w:val="22"/>
        </w:rPr>
        <w:t xml:space="preserve">Entomological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639-644. </w:t>
      </w:r>
      <w:hyperlink r:id="rId38266ab045cdd092a" w:history="1">
        <w:r>
          <w:rPr>
            <w:rFonts w:ascii="Calibri" w:hAnsi="Calibri" w:eastAsia="Calibri" w:cs="Calibri"/>
            <w:color w:val="0000CC"/>
            <w:sz w:val="22"/>
            <w:szCs w:val="22"/>
            <w:u w:val="single"/>
          </w:rPr>
          <w:t xml:space="preserve">https://doi.org/10.1134/S0013873819050075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Kirisits T (2004) Fungal associates of European bark beetles with special emphasis on the Ophiostomatoid fungi. In </w:t>
      </w:r>
      <w:r>
        <w:rPr>
          <w:rFonts w:ascii="Calibri" w:hAnsi="Calibri" w:eastAsia="Calibri" w:cs="Calibri"/>
          <w:i/>
          <w:iCs/>
          <w:color w:val="000000"/>
          <w:sz w:val="22"/>
          <w:szCs w:val="22"/>
        </w:rPr>
        <w:t xml:space="preserve">Bark and Wood Boring Insects in Living Trees in Europe, A Synthesis</w:t>
      </w:r>
      <w:r>
        <w:rPr>
          <w:rFonts w:ascii="Calibri" w:hAnsi="Calibri" w:eastAsia="Calibri" w:cs="Calibri"/>
          <w:color w:val="000000"/>
          <w:sz w:val="22"/>
          <w:szCs w:val="22"/>
        </w:rPr>
        <w:t xml:space="preserve"> (eds Lieutier 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pp. 181-235. Springer, Dordrecht (NL). </w:t>
      </w:r>
      <w:hyperlink r:id="rId13496ab045cdd099c" w:history="1">
        <w:r>
          <w:rPr>
            <w:rFonts w:ascii="Calibri" w:hAnsi="Calibri" w:eastAsia="Calibri" w:cs="Calibri"/>
            <w:color w:val="0000CC"/>
            <w:sz w:val="22"/>
            <w:szCs w:val="22"/>
            <w:u w:val="single"/>
          </w:rPr>
          <w:t xml:space="preserve">https://doi.org/10.1007/978-1-4020-2241-8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Koponen M (1975) Distribution of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in Finland in 1950-1973. </w:t>
      </w:r>
      <w:r>
        <w:rPr>
          <w:rFonts w:ascii="Calibri" w:hAnsi="Calibri" w:eastAsia="Calibri" w:cs="Calibri"/>
          <w:i/>
          <w:iCs/>
          <w:color w:val="000000"/>
          <w:sz w:val="22"/>
          <w:szCs w:val="22"/>
        </w:rPr>
        <w:t xml:space="preserve">Annales Entomologici Fennici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65-69.</w:t>
      </w:r>
    </w:p>
    <w:p>
      <w:pPr>
        <w:widowControl w:val="on"/>
        <w:pBdr/>
        <w:spacing w:before="220" w:after="220" w:line="240" w:lineRule="auto"/>
        <w:ind w:left="0" w:right="0"/>
        <w:jc w:val="left"/>
      </w:pPr>
      <w:r>
        <w:rPr>
          <w:rFonts w:ascii="Calibri" w:hAnsi="Calibri" w:eastAsia="Calibri" w:cs="Calibri"/>
          <w:color w:val="000000"/>
          <w:sz w:val="22"/>
          <w:szCs w:val="22"/>
        </w:rPr>
        <w:t xml:space="preserve">Nilssen AC (1978) Development of a bark fauna in plantation of spruce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(L.) Karst.) in North Norway. </w:t>
      </w:r>
      <w:r>
        <w:rPr>
          <w:rFonts w:ascii="Calibri" w:hAnsi="Calibri" w:eastAsia="Calibri" w:cs="Calibri"/>
          <w:i/>
          <w:iCs/>
          <w:color w:val="000000"/>
          <w:sz w:val="22"/>
          <w:szCs w:val="22"/>
        </w:rPr>
        <w:t xml:space="preserve">Astarte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151-169.</w:t>
      </w:r>
    </w:p>
    <w:p>
      <w:pPr>
        <w:widowControl w:val="on"/>
        <w:pBdr/>
        <w:spacing w:before="220" w:after="220" w:line="240" w:lineRule="auto"/>
        <w:ind w:left="0" w:right="0"/>
        <w:jc w:val="left"/>
      </w:pPr>
      <w:r>
        <w:rPr>
          <w:rFonts w:ascii="Calibri" w:hAnsi="Calibri" w:eastAsia="Calibri" w:cs="Calibri"/>
          <w:color w:val="000000"/>
          <w:sz w:val="22"/>
          <w:szCs w:val="22"/>
        </w:rPr>
        <w:t xml:space="preserve">Økland B, Flø D, Schroeder M, Zach P, Cocos D, Martkainen P, Siitonen J, Mandelshtam MY, Musolin DL, Neuvonen S, Vakula J, Nikolov C, Lindelòw A &amp; Voolma K (2019) Range expansion of the small bark beetle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a newcomer in Northern Europe. </w:t>
      </w:r>
      <w:r>
        <w:rPr>
          <w:rFonts w:ascii="Calibri" w:hAnsi="Calibri" w:eastAsia="Calibri" w:cs="Calibri"/>
          <w:i/>
          <w:iCs/>
          <w:color w:val="000000"/>
          <w:sz w:val="22"/>
          <w:szCs w:val="22"/>
        </w:rPr>
        <w:t xml:space="preserve">Agricultural and Forest Entomology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286-289. </w:t>
      </w:r>
      <w:hyperlink r:id="rId87386ab045cdd0b24" w:history="1">
        <w:r>
          <w:rPr>
            <w:rFonts w:ascii="Calibri" w:hAnsi="Calibri" w:eastAsia="Calibri" w:cs="Calibri"/>
            <w:color w:val="0000CC"/>
            <w:sz w:val="22"/>
            <w:szCs w:val="22"/>
            <w:u w:val="single"/>
          </w:rPr>
          <w:t xml:space="preserve">https://doi.org/10.1111/afe.12331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Repe A, Kirisits T, Piškur B, de Groot M, Kump B &amp; Jurc M (2013) Ophiostomatoid fungi associated with three spruce-infesting bark beetles in Slovenia. </w:t>
      </w:r>
      <w:r>
        <w:rPr>
          <w:rFonts w:ascii="Calibri" w:hAnsi="Calibri" w:eastAsia="Calibri" w:cs="Calibri"/>
          <w:i/>
          <w:iCs/>
          <w:color w:val="000000"/>
          <w:sz w:val="22"/>
          <w:szCs w:val="22"/>
        </w:rPr>
        <w:t xml:space="preserve">Annals of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70 </w:t>
      </w:r>
      <w:r>
        <w:rPr>
          <w:rFonts w:ascii="Calibri" w:hAnsi="Calibri" w:eastAsia="Calibri" w:cs="Calibri"/>
          <w:color w:val="000000"/>
          <w:sz w:val="22"/>
          <w:szCs w:val="22"/>
        </w:rPr>
        <w:t xml:space="preserve">(7), 717-727.</w:t>
      </w:r>
    </w:p>
    <w:p>
      <w:pPr>
        <w:widowControl w:val="on"/>
        <w:pBdr/>
        <w:spacing w:before="220" w:after="220" w:line="240" w:lineRule="auto"/>
        <w:ind w:left="0" w:right="0"/>
        <w:jc w:val="left"/>
      </w:pPr>
      <w:r>
        <w:rPr>
          <w:rFonts w:ascii="Calibri" w:hAnsi="Calibri" w:eastAsia="Calibri" w:cs="Calibri"/>
          <w:color w:val="000000"/>
          <w:sz w:val="22"/>
          <w:szCs w:val="22"/>
        </w:rPr>
        <w:t xml:space="preserve">Repe NA, de Groot M, Jurc M (2018) Assemblages of ophiostomatoid fungi vectored by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(Coleoptera: Scolytinae) on Norway spruce depend on colonization time, position on the host tree and development stage. </w:t>
      </w:r>
      <w:r>
        <w:rPr>
          <w:rFonts w:ascii="Calibri" w:hAnsi="Calibri" w:eastAsia="Calibri" w:cs="Calibri"/>
          <w:i/>
          <w:iCs/>
          <w:color w:val="000000"/>
          <w:sz w:val="22"/>
          <w:szCs w:val="22"/>
        </w:rPr>
        <w:t xml:space="preserve">Sumarski List</w:t>
      </w:r>
      <w:r>
        <w:rPr>
          <w:rFonts w:ascii="Calibri" w:hAnsi="Calibri" w:eastAsia="Calibri" w:cs="Calibri"/>
          <w:color w:val="000000"/>
          <w:sz w:val="22"/>
          <w:szCs w:val="22"/>
        </w:rPr>
        <w:t xml:space="preserve"> 3–4(3), 171-178.</w:t>
      </w:r>
    </w:p>
    <w:p>
      <w:pPr>
        <w:widowControl w:val="on"/>
        <w:pBdr/>
        <w:spacing w:before="220" w:after="220" w:line="240" w:lineRule="auto"/>
        <w:ind w:left="0" w:right="0"/>
        <w:jc w:val="left"/>
      </w:pPr>
      <w:r>
        <w:rPr>
          <w:rFonts w:ascii="Calibri" w:hAnsi="Calibri" w:eastAsia="Calibri" w:cs="Calibri"/>
          <w:color w:val="000000"/>
          <w:sz w:val="22"/>
          <w:szCs w:val="22"/>
        </w:rPr>
        <w:t xml:space="preserve">Witrylak W (2008) Studies of the biology, ecology, phenology, and economic importance of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(Eichh.) (Col., Scolytidae) in experimental forests of Krynica (Beskid Sadecki, southern Poland). </w:t>
      </w:r>
      <w:r>
        <w:rPr>
          <w:rFonts w:ascii="Calibri" w:hAnsi="Calibri" w:eastAsia="Calibri" w:cs="Calibri"/>
          <w:i/>
          <w:iCs/>
          <w:color w:val="000000"/>
          <w:sz w:val="22"/>
          <w:szCs w:val="22"/>
        </w:rPr>
        <w:t xml:space="preserve">Acta Scientiarum Polonorum Silvarum Colendarum Ratio et Industria Lignaria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(1), 75-92.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2020 by Dr. D.L. Musolin.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EPPO datasheets on pests recommended for regulation. Available online. </w:t>
      </w:r>
      <w:hyperlink r:id="rId22166ab045cdd0d11"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1981 and revised in the two editions of 'Quarantine Pests for Europe' in 1992 and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(1981) Data sheets on quarantine organisms No. 112, </w:t>
      </w:r>
      <w:r>
        <w:rPr>
          <w:rFonts w:ascii="Calibri" w:hAnsi="Calibri" w:eastAsia="Calibri" w:cs="Calibri"/>
          <w:i/>
          <w:iCs/>
          <w:color w:val="000000"/>
          <w:sz w:val="22"/>
          <w:szCs w:val="22"/>
        </w:rPr>
        <w:t xml:space="preserve">Ips amitinus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OEPP/EPPO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1-3.</w:t>
      </w:r>
    </w:p>
    <w:p>
      <w:r>
        <w:drawing>
          <wp:inline distT="0" distB="0" distL="0" distR="0">
            <wp:extent cx="1800000" cy="604800"/>
            <wp:docPr id="51126737" name="name74076ab045cdd14a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5156ab045cdd14ae"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53564">
    <w:multiLevelType w:val="hybridMultilevel"/>
    <w:lvl w:ilvl="0" w:tplc="62113111">
      <w:start w:val="1"/>
      <w:numFmt w:val="decimal"/>
      <w:lvlText w:val="%1."/>
      <w:lvlJc w:val="left"/>
      <w:pPr>
        <w:ind w:left="720" w:hanging="360"/>
      </w:pPr>
    </w:lvl>
    <w:lvl w:ilvl="1" w:tplc="62113111" w:tentative="1">
      <w:start w:val="1"/>
      <w:numFmt w:val="lowerLetter"/>
      <w:lvlText w:val="%2."/>
      <w:lvlJc w:val="left"/>
      <w:pPr>
        <w:ind w:left="1440" w:hanging="360"/>
      </w:pPr>
    </w:lvl>
    <w:lvl w:ilvl="2" w:tplc="62113111" w:tentative="1">
      <w:start w:val="1"/>
      <w:numFmt w:val="lowerRoman"/>
      <w:lvlText w:val="%3."/>
      <w:lvlJc w:val="right"/>
      <w:pPr>
        <w:ind w:left="2160" w:hanging="180"/>
      </w:pPr>
    </w:lvl>
    <w:lvl w:ilvl="3" w:tplc="62113111" w:tentative="1">
      <w:start w:val="1"/>
      <w:numFmt w:val="decimal"/>
      <w:lvlText w:val="%4."/>
      <w:lvlJc w:val="left"/>
      <w:pPr>
        <w:ind w:left="2880" w:hanging="360"/>
      </w:pPr>
    </w:lvl>
    <w:lvl w:ilvl="4" w:tplc="62113111" w:tentative="1">
      <w:start w:val="1"/>
      <w:numFmt w:val="lowerLetter"/>
      <w:lvlText w:val="%5."/>
      <w:lvlJc w:val="left"/>
      <w:pPr>
        <w:ind w:left="3600" w:hanging="360"/>
      </w:pPr>
    </w:lvl>
    <w:lvl w:ilvl="5" w:tplc="62113111" w:tentative="1">
      <w:start w:val="1"/>
      <w:numFmt w:val="lowerRoman"/>
      <w:lvlText w:val="%6."/>
      <w:lvlJc w:val="right"/>
      <w:pPr>
        <w:ind w:left="4320" w:hanging="180"/>
      </w:pPr>
    </w:lvl>
    <w:lvl w:ilvl="6" w:tplc="62113111" w:tentative="1">
      <w:start w:val="1"/>
      <w:numFmt w:val="decimal"/>
      <w:lvlText w:val="%7."/>
      <w:lvlJc w:val="left"/>
      <w:pPr>
        <w:ind w:left="5040" w:hanging="360"/>
      </w:pPr>
    </w:lvl>
    <w:lvl w:ilvl="7" w:tplc="62113111" w:tentative="1">
      <w:start w:val="1"/>
      <w:numFmt w:val="lowerLetter"/>
      <w:lvlText w:val="%8."/>
      <w:lvlJc w:val="left"/>
      <w:pPr>
        <w:ind w:left="5760" w:hanging="360"/>
      </w:pPr>
    </w:lvl>
    <w:lvl w:ilvl="8" w:tplc="62113111" w:tentative="1">
      <w:start w:val="1"/>
      <w:numFmt w:val="lowerRoman"/>
      <w:lvlText w:val="%9."/>
      <w:lvlJc w:val="right"/>
      <w:pPr>
        <w:ind w:left="6480" w:hanging="180"/>
      </w:pPr>
    </w:lvl>
  </w:abstractNum>
  <w:abstractNum w:abstractNumId="85653563">
    <w:multiLevelType w:val="hybridMultilevel"/>
    <w:lvl w:ilvl="0" w:tplc="569754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53563">
    <w:abstractNumId w:val="85653563"/>
  </w:num>
  <w:num w:numId="85653564">
    <w:abstractNumId w:val="8565356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72469316" Type="http://schemas.microsoft.com/office/2011/relationships/commentsExtended" Target="commentsExtended.xml"/><Relationship Id="rId440084435" Type="http://schemas.microsoft.com/office/2011/relationships/people" Target="people.xml"/><Relationship Id="rId45756ab045cdce00d" Type="http://schemas.openxmlformats.org/officeDocument/2006/relationships/hyperlink" Target="https://gd.eppo.int/taxon/IPSXAM/" TargetMode="External"/><Relationship Id="rId15636ab045cdce08d" Type="http://schemas.openxmlformats.org/officeDocument/2006/relationships/hyperlink" Target="https://gd.eppo.int/taxon/IPSXAM/categorization" TargetMode="External"/><Relationship Id="rId99506ab045cdce903" Type="http://schemas.openxmlformats.org/officeDocument/2006/relationships/hyperlink" Target="https://gd.eppo.int/taxon/IPSXAM/photos" TargetMode="External"/><Relationship Id="rId13666ab045cdd0767" Type="http://schemas.openxmlformats.org/officeDocument/2006/relationships/hyperlink" Target="https://doi.org/10.1007/BF01073623" TargetMode="External"/><Relationship Id="rId64976ab045cdd081b" Type="http://schemas.openxmlformats.org/officeDocument/2006/relationships/hyperlink" Target="https://doi.org/10.14214/aff.7606" TargetMode="External"/><Relationship Id="rId17136ab045cdd088d" Type="http://schemas.openxmlformats.org/officeDocument/2006/relationships/hyperlink" Target="https://www.ippc.int/en/publications/640/" TargetMode="External"/><Relationship Id="rId38266ab045cdd092a" Type="http://schemas.openxmlformats.org/officeDocument/2006/relationships/hyperlink" Target="https://doi.org/10.1134/S0013873819050075" TargetMode="External"/><Relationship Id="rId13496ab045cdd099c" Type="http://schemas.openxmlformats.org/officeDocument/2006/relationships/hyperlink" Target="https://doi.org/10.1007/978-1-4020-2241-8" TargetMode="External"/><Relationship Id="rId87386ab045cdd0b24" Type="http://schemas.openxmlformats.org/officeDocument/2006/relationships/hyperlink" Target="https://doi.org/10.1111/afe.12331" TargetMode="External"/><Relationship Id="rId22166ab045cdd0d11" Type="http://schemas.openxmlformats.org/officeDocument/2006/relationships/hyperlink" Target="https://gd.eppo.int" TargetMode="External"/><Relationship Id="rId10826ab045cdce7e5" Type="http://schemas.openxmlformats.org/officeDocument/2006/relationships/image" Target="media/imgrId10826ab045cdce7e5.jpg"/><Relationship Id="rId48346ab045cdcf970" Type="http://schemas.openxmlformats.org/officeDocument/2006/relationships/image" Target="media/imgrId48346ab045cdcf970.jpg"/><Relationship Id="rId55156ab045cdd14ae" Type="http://schemas.openxmlformats.org/officeDocument/2006/relationships/image" Target="media/imgrId55156ab045cdd14ae.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