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impatiensnecromaculae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impatiensnecromaculae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INSV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necrotic spot of impatiens</w:t>
            </w:r>
            <w:hyperlink r:id="rId540769710e4be6fc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459869710e4be70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28759" name="name374469710e4be7782" descr="12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7.jpg"/>
                          <pic:cNvPicPr/>
                        </pic:nvPicPr>
                        <pic:blipFill>
                          <a:blip r:embed="rId214569710e4be7780" cstate="print"/>
                          <a:stretch>
                            <a:fillRect/>
                          </a:stretch>
                        </pic:blipFill>
                        <pic:spPr>
                          <a:xfrm>
                            <a:off x="0" y="0"/>
                            <a:ext cx="2160000" cy="1281600"/>
                          </a:xfrm>
                          <a:prstGeom prst="rect">
                            <a:avLst/>
                          </a:prstGeom>
                          <a:ln w="0">
                            <a:noFill/>
                          </a:ln>
                        </pic:spPr>
                      </pic:pic>
                    </a:graphicData>
                  </a:graphic>
                </wp:inline>
              </w:drawing>
            </w:r>
            <w:hyperlink r:id="rId346769710e4be788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strains previously constituting serogroup III of tomato spotted wilt tospovirus (TSWV) were subsequently distinguished as the separate species INSV (de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1995, INSV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w:t>
      </w:r>
      <w:hyperlink r:id="rId692069710e4be79f4" w:history="1">
        <w:r>
          <w:rPr>
            <w:rFonts w:ascii="Calibri" w:hAnsi="Calibri" w:eastAsia="Calibri" w:cs="Calibri"/>
            <w:b/>
            <w:bCs/>
            <w:color w:val="0000CC"/>
            <w:sz w:val="22"/>
            <w:szCs w:val="22"/>
            <w:u w:val="single"/>
          </w:rPr>
          <w:t xml:space="preserve">ICTV online</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INSV has been reported to infect more than 300 plant species belonging to 85 different dicotyledonous and monocotyledonous families (Lebas &amp; Ochoa-Corona, 2007).The main hosts of INSV are ornamentals such as </w:t>
      </w:r>
      <w:r>
        <w:rPr>
          <w:rFonts w:ascii="Calibri" w:hAnsi="Calibri" w:eastAsia="Calibri" w:cs="Calibri"/>
          <w:i/>
          <w:iCs/>
          <w:color w:val="000000"/>
          <w:sz w:val="22"/>
          <w:szCs w:val="22"/>
        </w:rPr>
        <w:t xml:space="preserve">Aconitum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(Dendranthema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grandiflorum), Cineraria, Columnea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Dahlia, Dianthus, Dracaena, Eustoma russellianum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Eustoma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Gentiana, 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Iris, Kalanchoe, Limonium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Spathiphyllum, Tulipa, Verbena, Zantedeschia aethiopica, Zinnia</w:t>
      </w:r>
      <w:r>
        <w:rPr>
          <w:rFonts w:ascii="Calibri" w:hAnsi="Calibri" w:eastAsia="Calibri" w:cs="Calibri"/>
          <w:color w:val="000000"/>
          <w:sz w:val="22"/>
          <w:szCs w:val="22"/>
        </w:rPr>
        <w:t xml:space="preserve">. INSV is the first virus to be recorded from a fern (the glasshouse ornamental </w:t>
      </w:r>
      <w:r>
        <w:rPr>
          <w:rFonts w:ascii="Calibri" w:hAnsi="Calibri" w:eastAsia="Calibri" w:cs="Calibri"/>
          <w:i/>
          <w:iCs/>
          <w:color w:val="000000"/>
          <w:sz w:val="22"/>
          <w:szCs w:val="22"/>
        </w:rPr>
        <w:t xml:space="preserve">Asplenium nidus-avis</w:t>
      </w:r>
      <w:r>
        <w:rPr>
          <w:rFonts w:ascii="Calibri" w:hAnsi="Calibri" w:eastAsia="Calibri" w:cs="Calibri"/>
          <w:color w:val="000000"/>
          <w:sz w:val="22"/>
          <w:szCs w:val="22"/>
        </w:rPr>
        <w:t xml:space="preserve">). Vegetable hosts include </w:t>
      </w:r>
      <w:r>
        <w:rPr>
          <w:rFonts w:ascii="Calibri" w:hAnsi="Calibri" w:eastAsia="Calibri" w:cs="Calibri"/>
          <w:i/>
          <w:iCs/>
          <w:color w:val="000000"/>
          <w:sz w:val="22"/>
          <w:szCs w:val="22"/>
        </w:rPr>
        <w:t xml:space="preserve">Allium cepa, A. porrum, A.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It has also been shown to infect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Weed species such as </w:t>
      </w:r>
      <w:r>
        <w:rPr>
          <w:rFonts w:ascii="Calibri" w:hAnsi="Calibri" w:eastAsia="Calibri" w:cs="Calibri"/>
          <w:i/>
          <w:iCs/>
          <w:color w:val="000000"/>
          <w:sz w:val="22"/>
          <w:szCs w:val="22"/>
        </w:rPr>
        <w:t xml:space="preserve">Cardamine scutata, Stellaria media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can be important reservoirs for INSV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cernuum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cristophii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lusitanicum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moly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oleraceum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oreophilum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rotundum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scorodoprasum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sphaerocephalon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zebdanense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Arabidopsis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cucullata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leathermaniae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floridus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x generalis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scutata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Cyrtomium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rigescens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Dischidia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Echeveria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Episcia cupreata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seguieriana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Ficaria verna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Franklinia alatamaha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wayetii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Isotoma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Kohleria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Nepenthes x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microdasys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radens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cadierei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x wisetonensis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brevicaule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mochiquense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Torenia fournieri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INSV was first isolated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North America in 1989 (described as TSWV-Impatiens strain; Law &amp; Moyer, 1990; Law et al., 1991). Since then, INSV has been detected in many countries worldwide, including several countries in the EPPO region.</w:t>
      </w:r>
    </w:p>
    <w:p>
      <w:r>
        <w:drawing>
          <wp:inline distT="0" distB="0" distL="0" distR="0">
            <wp:extent cx="6120000" cy="3067200"/>
            <wp:docPr id="26809016" name="name959769710e4bead59" descr="IN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V00_distribution_map.jpg"/>
                    <pic:cNvPicPr/>
                  </pic:nvPicPr>
                  <pic:blipFill>
                    <a:blip r:embed="rId394169710e4bead5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Bulgaria, Czechia, Finland, France (mainland), Germany, Greece (mainland), Guernsey, Hungary, Italy (mainland, Sicilia), Lithuania, Netherlands, North Macedonia, Poland, Portugal (mainland), Russian Federation (the), Serbia, Slovenia, Spain (mainland), Sweden,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Iran, Islamic Republic of,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Mexico, United States of America (Alabama, Arizona, Arkansas, California, Colorado, Connecticut, Delaware, Florida, Georgia, Idaho, Iowa, Kansas, Kentucky, Maine, Maryland, Massachusetts, Minnesota, Mississippi, Missouri, New Hampshire, New Jersey, New York, North Carolina, North Dakota, Ohio, Oklahoma, Oregon, Pennsylvania, South Carolina, Texas, Vermont, Virginia,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INSV exhibits some genetic diversity, but epidemiological studies indicated no evidence of host specificity among INSV isolates and demonstrated that isolates introduced via different routes can be circulating within the same areas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Nekoduka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Adegbola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INSV are </w:t>
      </w:r>
      <w:r>
        <w:rPr>
          <w:rFonts w:ascii="Calibri" w:hAnsi="Calibri" w:eastAsia="Calibri" w:cs="Calibri"/>
          <w:i/>
          <w:iCs/>
          <w:color w:val="000000"/>
          <w:sz w:val="22"/>
          <w:szCs w:val="22"/>
        </w:rPr>
        <w:t xml:space="preserve">Frankliniella fusca, 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(Naidu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Sakurai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Jones, 2005; Rotenberg &amp; Whitfield, 2018). In the EPPO region, </w:t>
      </w:r>
      <w:r>
        <w:rPr>
          <w:rFonts w:ascii="Calibri" w:hAnsi="Calibri" w:eastAsia="Calibri" w:cs="Calibri"/>
          <w:i/>
          <w:iCs/>
          <w:color w:val="000000"/>
          <w:sz w:val="22"/>
          <w:szCs w:val="22"/>
        </w:rPr>
        <w:t xml:space="preserve">F. occidentalis and F. intonsa </w:t>
      </w:r>
      <w:r>
        <w:rPr>
          <w:rFonts w:ascii="Calibri" w:hAnsi="Calibri" w:eastAsia="Calibri" w:cs="Calibri"/>
          <w:color w:val="000000"/>
          <w:sz w:val="22"/>
          <w:szCs w:val="22"/>
        </w:rPr>
        <w:t xml:space="preserve">are widely distributed (EFSA, 2012b). Both thrips species are very polyphagous. Orthotospoviruses are transmitted by thrips in a persistent manner. Only individuals which have acquired the virus at the larval stages can transmit it. Virus transmission occurs after a latent period of circulation and multiplication of the virus in the thrips vector. Once acquired, the virus is transmitted transstadially and thrips remain infectious for life, however there is no evidence of transovarial transmission (Wijkamp &amp; Peters, 1993; Jones, 2005;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are also transmitted mechanically by wounding, a process that is only of experimental significance (EFSA, 2012b). Like all viruses, orthotospoviruses are disseminated with infected plant tissues used for vegetative propagation hence all plants infected with orthotospoviruses contribute to virus spread when cuttings are used for vegetative propagation (EFSA, 2012b). Although orthotospoviruses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an orthotospovirus (soybean vein necrosis virus) has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INSV can cause a variety of symptoms that may vary in the same host species depending on the variety and age as well as the nutritional and environmental conditions of the plant. Symptoms of INSV infection also vary depending on the developmental stage of the plant at the time of inoculation and on the virus isolate. INSV symptoms include necrosis, chlorosis, ring patterns, mottling, stunting, local lesions, and death of the plant. Several other orthotospoviruses, as well as even more genetically distinct viruses, can cause symptoms similar to those seen in INSV infection. However, it should be noted that infection of host plants by INSV may be asymptomatic in some host plants, or the symptoms may be mild due to environmental conditions, or the infection may be too recent to reach full symptom expression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Roggero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Lebas &amp; Ochoa-Corona, 2007;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Nekoduka &amp; Sano,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ornamentals: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Begonia x hiemalis</w:t>
      </w:r>
      <w:r>
        <w:rPr>
          <w:rFonts w:ascii="Calibri" w:hAnsi="Calibri" w:eastAsia="Calibri" w:cs="Calibri"/>
          <w:color w:val="000000"/>
          <w:sz w:val="22"/>
          <w:szCs w:val="22"/>
        </w:rPr>
        <w:t xml:space="preserve">: yellow mottling of leaf, large brown circular necrotic spots, browning of the veins at the petiole end of the leaf; petiole may turn brown or necrotic (Lebas &amp; Ochoa-Corona, 2007)</w:t>
      </w:r>
      <w:r>
        <w:rPr>
          <w:rFonts w:ascii="Calibri" w:hAnsi="Calibri" w:eastAsia="Calibri" w:cs="Calibri"/>
          <w:i/>
          <w:iCs/>
          <w:color w:val="000000"/>
          <w:sz w:val="22"/>
          <w:szCs w:val="22"/>
        </w:rPr>
        <w:br/>
        <w:t xml:space="preserve">- Begonia tuberhybrida </w:t>
      </w:r>
      <w:r>
        <w:rPr>
          <w:rFonts w:ascii="Calibri" w:hAnsi="Calibri" w:eastAsia="Calibri" w:cs="Calibri"/>
          <w:color w:val="000000"/>
          <w:sz w:val="22"/>
          <w:szCs w:val="22"/>
        </w:rPr>
        <w:t xml:space="preserve">hybrids: foliar chlorotic rings and zonal spots accompanied by leaf necrosis and distortion of (Trkulja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br/>
        <w:t xml:space="preserve">- Chrysanthemum</w:t>
      </w:r>
      <w:r>
        <w:rPr>
          <w:rFonts w:ascii="Calibri" w:hAnsi="Calibri" w:eastAsia="Calibri" w:cs="Calibri"/>
          <w:color w:val="000000"/>
          <w:sz w:val="22"/>
          <w:szCs w:val="22"/>
        </w:rPr>
        <w:t xml:space="preserve">: chlorotic mottle and necrosis on the leaves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r>
        <w:rPr>
          <w:rFonts w:ascii="Calibri" w:hAnsi="Calibri" w:eastAsia="Calibri" w:cs="Calibri"/>
          <w:i/>
          <w:iCs/>
          <w:color w:val="000000"/>
          <w:sz w:val="22"/>
          <w:szCs w:val="22"/>
        </w:rPr>
        <w:br/>
        <w:t xml:space="preserve">- Eustoma russellianum</w:t>
      </w:r>
      <w:r>
        <w:rPr>
          <w:rFonts w:ascii="Calibri" w:hAnsi="Calibri" w:eastAsia="Calibri" w:cs="Calibri"/>
          <w:color w:val="000000"/>
          <w:sz w:val="22"/>
          <w:szCs w:val="22"/>
        </w:rPr>
        <w:t xml:space="preserve">: necrotic ringspots, leaf distortion, systemic necrosis, wilting, stunting, and death of the plant (Lebas &amp; Ochoa-Corona, 2008)</w:t>
      </w:r>
      <w:r>
        <w:rPr>
          <w:rFonts w:ascii="Calibri" w:hAnsi="Calibri" w:eastAsia="Calibri" w:cs="Calibri"/>
          <w:i/>
          <w:iCs/>
          <w:color w:val="000000"/>
          <w:sz w:val="22"/>
          <w:szCs w:val="22"/>
        </w:rPr>
        <w:br/>
        <w:t xml:space="preserve">- Impatiens New Guinea hybrids: </w:t>
      </w:r>
      <w:r>
        <w:rPr>
          <w:rFonts w:ascii="Calibri" w:hAnsi="Calibri" w:eastAsia="Calibri" w:cs="Calibri"/>
          <w:color w:val="000000"/>
          <w:sz w:val="22"/>
          <w:szCs w:val="22"/>
        </w:rPr>
        <w:t xml:space="preserve">brown or purple leaf spots, ringspots on petals, black diffuse spotting on leaves, black stem sections, leaf distortion, chlorotic mottling, and stunting (Lebas &amp; Ochoa-Corona, 2008)</w:t>
      </w:r>
      <w:r>
        <w:rPr>
          <w:rFonts w:ascii="Calibri" w:hAnsi="Calibri" w:eastAsia="Calibri" w:cs="Calibri"/>
          <w:i/>
          <w:iCs/>
          <w:color w:val="000000"/>
          <w:sz w:val="22"/>
          <w:szCs w:val="22"/>
        </w:rPr>
        <w:br/>
        <w:t xml:space="preserve">- Phalaenopsis </w:t>
      </w:r>
      <w:r>
        <w:rPr>
          <w:rFonts w:ascii="Calibri" w:hAnsi="Calibri" w:eastAsia="Calibri" w:cs="Calibri"/>
          <w:color w:val="000000"/>
          <w:sz w:val="22"/>
          <w:szCs w:val="22"/>
        </w:rPr>
        <w:t xml:space="preserve">orchids: chlorotic and necrotic ringspots (Baker et al., 2007; Cheng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r>
        <w:rPr>
          <w:rFonts w:ascii="Calibri" w:hAnsi="Calibri" w:eastAsia="Calibri" w:cs="Calibri"/>
          <w:i/>
          <w:iCs/>
          <w:color w:val="000000"/>
          <w:sz w:val="22"/>
          <w:szCs w:val="22"/>
        </w:rPr>
        <w:br/>
        <w:t xml:space="preserve">- Primula</w:t>
      </w:r>
      <w:r>
        <w:rPr>
          <w:rFonts w:ascii="Calibri" w:hAnsi="Calibri" w:eastAsia="Calibri" w:cs="Calibri"/>
          <w:color w:val="000000"/>
          <w:sz w:val="22"/>
          <w:szCs w:val="22"/>
        </w:rPr>
        <w:t xml:space="preserve"> spp.: necrotic veins, irregular necrotic lesions, mottling, and stunting (Lebas &amp; Ochoa-Corona, 2008)</w:t>
      </w:r>
      <w:r>
        <w:rPr>
          <w:rFonts w:ascii="Calibri" w:hAnsi="Calibri" w:eastAsia="Calibri" w:cs="Calibri"/>
          <w:i/>
          <w:iCs/>
          <w:color w:val="000000"/>
          <w:sz w:val="22"/>
          <w:szCs w:val="22"/>
        </w:rPr>
        <w:br/>
        <w:t xml:space="preserve">- 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chlorosis, necrosis streaking, brown spots, ringspots, wilting, and death of the plant (Lebas &amp; Ochoa-Corona, 2008)</w:t>
      </w:r>
      <w:r>
        <w:rPr>
          <w:rFonts w:ascii="Calibri" w:hAnsi="Calibri" w:eastAsia="Calibri" w:cs="Calibri"/>
          <w:i/>
          <w:iCs/>
          <w:color w:val="000000"/>
          <w:sz w:val="22"/>
          <w:szCs w:val="22"/>
        </w:rPr>
        <w:br/>
        <w:t xml:space="preserve">- Spathiphyllum: </w:t>
      </w:r>
      <w:r>
        <w:rPr>
          <w:rFonts w:ascii="Calibri" w:hAnsi="Calibri" w:eastAsia="Calibri" w:cs="Calibri"/>
          <w:color w:val="000000"/>
          <w:sz w:val="22"/>
          <w:szCs w:val="22"/>
        </w:rPr>
        <w:t xml:space="preserve">concentric chlorotic ringspots, line patterns, and irregular chlorotic blotches on leaves, which developed into localized necrosis (Materazzi &amp; Triolo, 2001)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vegetables, aromatic herbs and other crops: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Capsicum annum</w:t>
      </w:r>
      <w:r>
        <w:rPr>
          <w:rFonts w:ascii="Calibri" w:hAnsi="Calibri" w:eastAsia="Calibri" w:cs="Calibri"/>
          <w:color w:val="000000"/>
          <w:sz w:val="22"/>
          <w:szCs w:val="22"/>
        </w:rPr>
        <w:t xml:space="preserve"> (pepper): dark necrotic spots on some leaves and on the stems (Gonzalez-Pacheco &amp; Silva-Rosales, 2013), dwarfing, leaf chlorotic ringspots, and distorted apical buds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i/>
          <w:iCs/>
          <w:color w:val="000000"/>
          <w:sz w:val="22"/>
          <w:szCs w:val="22"/>
        </w:rPr>
        <w:br/>
        <w:t xml:space="preserve">- Lactuca sativa </w:t>
      </w:r>
      <w:r>
        <w:rPr>
          <w:rFonts w:ascii="Calibri" w:hAnsi="Calibri" w:eastAsia="Calibri" w:cs="Calibri"/>
          <w:color w:val="000000"/>
          <w:sz w:val="22"/>
          <w:szCs w:val="22"/>
        </w:rPr>
        <w:t xml:space="preserve">(lettuce): leaf chlorosis, brown ringspots, necrotic lesions, vein necrosis, leaf distortion and/or plant stunting (Koike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Hasegawa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br/>
        <w:t xml:space="preserve">- Ocimum basilicum</w:t>
      </w:r>
      <w:r>
        <w:rPr>
          <w:rFonts w:ascii="Calibri" w:hAnsi="Calibri" w:eastAsia="Calibri" w:cs="Calibri"/>
          <w:color w:val="000000"/>
          <w:sz w:val="22"/>
          <w:szCs w:val="22"/>
        </w:rPr>
        <w:t xml:space="preserve"> (basil): foliar symptoms consisting of chlorotic spots, ring spots, leaf distortion, and stem necrosis (Poojari &amp; Naidu, 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br/>
        <w:t xml:space="preserve">- Solanum lycopersicum</w:t>
      </w:r>
      <w:r>
        <w:rPr>
          <w:rFonts w:ascii="Calibri" w:hAnsi="Calibri" w:eastAsia="Calibri" w:cs="Calibri"/>
          <w:color w:val="000000"/>
          <w:sz w:val="22"/>
          <w:szCs w:val="22"/>
        </w:rPr>
        <w:t xml:space="preserve"> (tomato): small necrotic spots to large circular blotches on leaves and sometimes on fruit (Lebas &amp; Ochoa-Corona, 2008)</w:t>
      </w:r>
      <w:r>
        <w:rPr>
          <w:rFonts w:ascii="Calibri" w:hAnsi="Calibri" w:eastAsia="Calibri" w:cs="Calibri"/>
          <w:i/>
          <w:iCs/>
          <w:color w:val="000000"/>
          <w:sz w:val="22"/>
          <w:szCs w:val="22"/>
        </w:rPr>
        <w:br/>
        <w:t xml:space="preserve">- Solanum tuberosum </w:t>
      </w:r>
      <w:r>
        <w:rPr>
          <w:rFonts w:ascii="Calibri" w:hAnsi="Calibri" w:eastAsia="Calibri" w:cs="Calibri"/>
          <w:color w:val="000000"/>
          <w:sz w:val="22"/>
          <w:szCs w:val="22"/>
        </w:rPr>
        <w:t xml:space="preserve">(potato): leaves of greenhouse-grown potato exhibiting necrotic lesions with a concentric pattern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form enveloped spherical particles with a diameter of 80-120 nm. The lipid envelope of orthotospoviruses contains transmembrane tips composed of two glycoproteins that form oligomeric structures on the outside of the envelope.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thrips are present. If necessary, samples should be taken for laboratory testing for definitive identification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INSV are described in EPPO Standard PM 7/139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(EPPO, 2020). Electron microscopy can be used for the detection of INSV and other viruses of the same genus, as they share a typical morphology. Mechanical inoculation of test plants can be used for detection and subsequent identification by other methods. Several ELISA kits and serological tests for on-site detection are commercially available and can be used as screening tools for INSV. Several molecular tests have been described for the detection of INSV, and some for identification. Sequence analysis of amplicons obtained by the generic conventional PCR tests can also be used for INSV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a systemic pathogen and as such it is transmitted very efficiently by all vegetative propagation techniques. In international trade, INSV can be transmitted by susceptible host plants for planting (whether potted or not), and is particularly able to spread further if these plants also carry vectors. Thrips are easily transported on above-ground fresh plant parts (e.g. cut foliage, cut flowers and cut branches) hidden under bracts, in buds and leaf bases. Insect vectors that have acquired INSV and that invade new areas can transmit INSV to new hosts. Short distance spread of thrips vectors by natural means within and between adjacent greenhouses, orchards, and other production sites is likely, but long-distance spread, even in strong winds is less common. Weeds can provide a virus reservoir from which thrips vectors can migrate into cultivated ornamentals or crop fields, which then become heavily infected. Mechanical transmission of INSV only plays a limited role in virus epidemiology in the ornamental industry and agriculture. Transmission through seeds is considered not to be a pathway or to be a highly unlikely pathway (see Biology) (Mound, 1983; Kirk &amp; Terry, 2003;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Joseph &amp; Koike,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losses due to INSV infection have been reported in crops of cut flowers and potted plants, especially when infested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(Lebas &amp; Ochoa-Corona, 2008). Severe losses due to INSV infection have been reported in </w:t>
      </w:r>
      <w:r>
        <w:rPr>
          <w:rFonts w:ascii="Calibri" w:hAnsi="Calibri" w:eastAsia="Calibri" w:cs="Calibri"/>
          <w:i/>
          <w:iCs/>
          <w:color w:val="000000"/>
          <w:sz w:val="22"/>
          <w:szCs w:val="22"/>
        </w:rPr>
        <w:t xml:space="preserve">Cineraria, Ranunculus, Impatiens, New Guinea Impatiens, Cyclamen, Exacum, Begonia, Primula,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Gloxinia</w:t>
      </w:r>
      <w:r>
        <w:rPr>
          <w:rFonts w:ascii="Calibri" w:hAnsi="Calibri" w:eastAsia="Calibri" w:cs="Calibri"/>
          <w:color w:val="000000"/>
          <w:sz w:val="22"/>
          <w:szCs w:val="22"/>
        </w:rPr>
        <w:t xml:space="preserve">)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This was due to symptoms such as necrotic spots, necrotic veins, ringspots and stem necrosis, which make ornamental plants quite unattractive and thus unsaleable (EFSA, 2012b). However, EFSA (2012b) classified the impact of orthotospovirus diseases on ornamental plant production as moderate; as damage may be limited to a few leaves and flowers and does not necessarily affect entire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INSV is found in vegetable crops, its impact is not apparently as great on these hosts as that of TSWV. However, there are some cases in which important damage is reported. For example, due to INSV infection, 30 to 40% of lettuce plants in four fields in Greece were affected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severe outbreaks were recorded in lettuce crops in California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is considered crucial for orthotospovirus control (EFSA, 2012b;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included in the certification scheme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control measures as for TSWV (EPPO, 2022) are suggested and described further on: 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under protected conditions can be reduced by introducing biocontrol agents. These include predatory mites, entomopathogenic fungi and nematodes, parasitic wasps and generalist predators (Sánchez &amp;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INSV resistant (tolerant/immune) cultivars would reduce the incidence of the disease, but unfortunately, resistant varieties of the vast majority INSV host plants are not available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Sears, 2017; Simko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INSV was thought to be of importance only to ornamentals. However, subsequent reports have shown that the host range of the virus has expanded to include several horticultural, agricultural, and field crops. It is reported from many European and Mediterranean countries. In addition, its thrips vector species are widely distributed in these countries. Spread can occur through thrips vector activity and through movement of infected hosts. Because INSV can cause both yield and quality losses in a variety of hosts, significant impacts are expected in regions where thrips vectors are present if appropriate control measures are not taken.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spread and impact of INSV, requirements at production and/or import for different host species apply worldwide. These requirements can vary with regards to crop and prevalence at the place of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INSV does not occur or is not widespread may consider regulation as a quarantine pest. If they do so, these countries may require that plants have been produced in a pest free area, in a pest-free place/site of production or be subject to inspection and/or testing e.g. as performed in certification schemes. </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INSV does occur, it was assessed during the EU Quality pest project as fulfilling the minimum criteria for listing as a regulated non-quarantine pest (RNQP) for propagating and planting material (other than seeds)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Impatiens </w:t>
      </w:r>
      <w:r>
        <w:rPr>
          <w:rFonts w:ascii="Calibri" w:hAnsi="Calibri" w:eastAsia="Calibri" w:cs="Calibri"/>
          <w:color w:val="000000"/>
          <w:sz w:val="22"/>
          <w:szCs w:val="22"/>
        </w:rPr>
        <w:t xml:space="preserve">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particular, before starting the propagation and/or production of plants, it should be ensured that the planting material is free from INSV (INSV is included in certification schemes for various ornamental plants, see Control section). During the EU Quality pest project, in addition to the monitoring and treatments to ensure effective suppression of populations of relevant thrips vectors, it was recommended that no symptoms have been observed at the site of production during the current growing period, or that any plants at the production site showing symptoms of INSV during the current growing period have been rogued out and a representative sample of the plants to be marketed has been tested and found free from INSV. In the EU, INSV is regulated as a Union RNQP for such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325269710e4bebd14"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Adegbola RO, Marshall SH, Batuman O, Ullman DE, Gilbertson RL, Adkins S, Naidu RA (2019) Sequence analysis of the medium and small RNAs of impatiens necrotic spot virus reveals segment reassortment but not recombination.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2829–2836. </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(11), 1515.</w:t>
      </w:r>
    </w:p>
    <w:p>
      <w:pPr>
        <w:widowControl w:val="on"/>
        <w:pBdr/>
        <w:spacing w:before="220" w:after="220" w:line="240" w:lineRule="auto"/>
        <w:ind w:left="0" w:right="0"/>
        <w:jc w:val="left"/>
      </w:pPr>
      <w:r>
        <w:rPr>
          <w:rFonts w:ascii="Calibri" w:hAnsi="Calibri" w:eastAsia="Calibri" w:cs="Calibri"/>
          <w:color w:val="000000"/>
          <w:sz w:val="22"/>
          <w:szCs w:val="22"/>
        </w:rPr>
        <w:t xml:space="preserve">Beris D, Malandraki I, Kektsidou O, Vassilakos N &amp; Varveri C (2020) First report of impatiens necrotic spot virus infecting lettuce in Greece.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(10), p 2742.</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X-J, Huang Y, Li J, Huang C-J, Liu Y, Zhu M &amp; Tao X-R (2016)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causing chlorotic ringspots on pepper in Yunnan,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(5), 1029.</w:t>
      </w:r>
    </w:p>
    <w:p>
      <w:pPr>
        <w:widowControl w:val="on"/>
        <w:pBdr/>
        <w:spacing w:before="220" w:after="220" w:line="240" w:lineRule="auto"/>
        <w:ind w:left="0" w:right="0"/>
        <w:jc w:val="left"/>
      </w:pPr>
      <w:r>
        <w:rPr>
          <w:rFonts w:ascii="Calibri" w:hAnsi="Calibri" w:eastAsia="Calibri" w:cs="Calibri"/>
          <w:color w:val="000000"/>
          <w:sz w:val="22"/>
          <w:szCs w:val="22"/>
        </w:rPr>
        <w:t xml:space="preserve">Cheng XF, Dong JH, Fang Q, Ding M, McBeath JH &amp; Zhang ZK (2010) Detection of Impatiens necrotic spot virus infecting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in Yunnan.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545.</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Daughtrey ML, Jones RK, Moyer JW, Daub ME &amp; Baker JR (1997) Tospoviruses strike the greenhouse industry; INSV has become a major pathogen on flower crops</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(11), 1220-1230.</w:t>
      </w:r>
    </w:p>
    <w:p>
      <w:pPr>
        <w:widowControl w:val="on"/>
        <w:pBdr/>
        <w:spacing w:before="220" w:after="220" w:line="240" w:lineRule="auto"/>
        <w:ind w:left="0" w:right="0"/>
        <w:jc w:val="left"/>
      </w:pPr>
      <w:r>
        <w:rPr>
          <w:rFonts w:ascii="Calibri" w:hAnsi="Calibri" w:eastAsia="Calibri" w:cs="Calibri"/>
          <w:color w:val="000000"/>
          <w:sz w:val="22"/>
          <w:szCs w:val="22"/>
        </w:rPr>
        <w:t xml:space="preserve">de Avila AC, de Haan P, Kitajima EW, Kormelink R, Resende RO, Goldbach RW &amp; Peters D (1992) Characterization of a distinct isolate of tomato spotted wilt virus (TSWV)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the Netherlands.</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133-151.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10(12), 3029. </w:t>
      </w:r>
      <w:hyperlink r:id="rId328069710e4bec2c5" w:history="1">
        <w:r>
          <w:rPr>
            <w:rFonts w:ascii="Calibri" w:hAnsi="Calibri" w:eastAsia="Calibri" w:cs="Calibri"/>
            <w:color w:val="0000CC"/>
            <w:sz w:val="22"/>
            <w:szCs w:val="22"/>
            <w:u w:val="single"/>
          </w:rPr>
          <w:t xml:space="preserve">https://doi.org/10.2903/j.efsa.2012.3029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10(7), 2772. </w:t>
      </w:r>
      <w:hyperlink r:id="rId494969710e4bec326"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Orthotospovirus).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Tomato spotted wilt virus</w:t>
      </w:r>
      <w:r>
        <w:rPr>
          <w:rFonts w:ascii="Calibri" w:hAnsi="Calibri" w:eastAsia="Calibri" w:cs="Calibri"/>
          <w:color w:val="000000"/>
          <w:sz w:val="22"/>
          <w:szCs w:val="22"/>
        </w:rPr>
        <w:t xml:space="preserve">. EPPO datasheets on pests recommended for regulation. Available online. </w:t>
      </w:r>
      <w:hyperlink r:id="rId575469710e4bec63f"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68,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Gonzalez-Pacheco BE &amp; Silva-Rosalez L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Mexico on tomatillo and pepper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(8), 1124.</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w:t>
      </w:r>
      <w:r>
        <w:rPr>
          <w:rFonts w:ascii="Calibri" w:hAnsi="Calibri" w:eastAsia="Calibri" w:cs="Calibri"/>
          <w:i/>
          <w:iCs/>
          <w:color w:val="000000"/>
          <w:sz w:val="22"/>
          <w:szCs w:val="22"/>
        </w:rPr>
        <w:t xml:space="preserve">Soybean vein necrosis virus</w:t>
      </w:r>
      <w:r>
        <w:rPr>
          <w:rFonts w:ascii="Calibri" w:hAnsi="Calibri" w:eastAsia="Calibri" w:cs="Calibri"/>
          <w:color w:val="000000"/>
          <w:sz w:val="22"/>
          <w:szCs w:val="22"/>
        </w:rPr>
        <w:t xml:space="preserve">: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516369710e4bec78f"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Hasegawa DK, Hladky LJ, Wintermantel WM, Putman AI, Dr. Barman AK, Slinski S, Palumbo J &amp; Poudel B (2022) First report of </w:t>
      </w:r>
      <w:r>
        <w:rPr>
          <w:rFonts w:ascii="Calibri" w:hAnsi="Calibri" w:eastAsia="Calibri" w:cs="Calibri"/>
          <w:i/>
          <w:iCs/>
          <w:color w:val="000000"/>
          <w:sz w:val="22"/>
          <w:szCs w:val="22"/>
        </w:rPr>
        <w:t xml:space="preserve">impatiens necrotic npot virus</w:t>
      </w:r>
      <w:r>
        <w:rPr>
          <w:rFonts w:ascii="Calibri" w:hAnsi="Calibri" w:eastAsia="Calibri" w:cs="Calibri"/>
          <w:color w:val="000000"/>
          <w:sz w:val="22"/>
          <w:szCs w:val="22"/>
        </w:rPr>
        <w:t xml:space="preserve"> infecting lettuce in Arizona and Southern desert regions of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(8). </w:t>
      </w:r>
      <w:hyperlink r:id="rId845169710e4bec816" w:history="1">
        <w:r>
          <w:rPr>
            <w:rFonts w:ascii="Calibri" w:hAnsi="Calibri" w:eastAsia="Calibri" w:cs="Calibri"/>
            <w:color w:val="0000CC"/>
            <w:sz w:val="22"/>
            <w:szCs w:val="22"/>
            <w:u w:val="single"/>
          </w:rPr>
          <w:t xml:space="preserve">https://doi.org/10.1094/PDIS-09-21-2118-PDN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(2005) Plant viruses transmitted by thrips.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119–157.</w:t>
      </w:r>
    </w:p>
    <w:p>
      <w:pPr>
        <w:widowControl w:val="on"/>
        <w:pBdr/>
        <w:spacing w:before="220" w:after="220" w:line="240" w:lineRule="auto"/>
        <w:ind w:left="0" w:right="0"/>
        <w:jc w:val="left"/>
      </w:pPr>
      <w:r>
        <w:rPr>
          <w:rFonts w:ascii="Calibri" w:hAnsi="Calibri" w:eastAsia="Calibri" w:cs="Calibri"/>
          <w:color w:val="000000"/>
          <w:sz w:val="22"/>
          <w:szCs w:val="22"/>
        </w:rPr>
        <w:t xml:space="preserve">Joseph SV &amp; Koike ST (2021) Could broccoli and cauliflower influence the dispersal dynamics of Western flower thrips (Thysanoptera: Thripidae) to lettuce in the Salinas Valley of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995–1005.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Koike ST, Kuo Y-W, Rojas MR &amp; Gilbertson RL (2008) First report of </w:t>
      </w:r>
      <w:r>
        <w:rPr>
          <w:rFonts w:ascii="Calibri" w:hAnsi="Calibri" w:eastAsia="Calibri" w:cs="Calibri"/>
          <w:i/>
          <w:iCs/>
          <w:color w:val="000000"/>
          <w:sz w:val="22"/>
          <w:szCs w:val="22"/>
        </w:rPr>
        <w:t xml:space="preserve">Impatiens necrotic spot virus i</w:t>
      </w:r>
      <w:r>
        <w:rPr>
          <w:rFonts w:ascii="Calibri" w:hAnsi="Calibri" w:eastAsia="Calibri" w:cs="Calibri"/>
          <w:color w:val="000000"/>
          <w:sz w:val="22"/>
          <w:szCs w:val="22"/>
        </w:rPr>
        <w:t xml:space="preserve">nfecting lettuce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(8), 1248.</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Yamashita K &amp; Sugiyama S (2011)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infecting chrysanthemum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481669710e4becacd"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Kuo Y-W, Gilbertson RL, Turini T, Brennan EB, Smith RF &amp; Koike ST (2014) Characterization and epidemiology of outbreaks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lettuce in coastal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1050-1059.</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Moyer JW (1990) A tomato spotted wilt-like virus with a serologically distinct N protein.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933–938. </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Speck J, Moyer JW (1991) Nucleotide sequence of the 30 non-coding region and N gene of the S RNA of a serologically distinct tospovirus.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2597–2601.</w:t>
      </w:r>
    </w:p>
    <w:p>
      <w:pPr>
        <w:widowControl w:val="on"/>
        <w:pBdr/>
        <w:spacing w:before="220" w:after="220" w:line="240" w:lineRule="auto"/>
        <w:ind w:left="0" w:right="0"/>
        <w:jc w:val="left"/>
      </w:pPr>
      <w:r>
        <w:rPr>
          <w:rFonts w:ascii="Calibri" w:hAnsi="Calibri" w:eastAsia="Calibri" w:cs="Calibri"/>
          <w:color w:val="000000"/>
          <w:sz w:val="22"/>
          <w:szCs w:val="22"/>
        </w:rPr>
        <w:t xml:space="preserve">Lebas BSM &amp; Ochoa-Corona FM (2007)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Rao GP, Bragard C &amp; Lebas BSM (editors) Characterisation, Diagnosis &amp; Management of Plant Viruses; Vol 4: Grain Crops &amp; Ornamentals. Studium Press LLC, Texas, USA, 221-243. </w:t>
      </w:r>
    </w:p>
    <w:p>
      <w:pPr>
        <w:widowControl w:val="on"/>
        <w:pBdr/>
        <w:spacing w:before="220" w:after="220" w:line="240" w:lineRule="auto"/>
        <w:ind w:left="0" w:right="0"/>
        <w:jc w:val="left"/>
      </w:pPr>
      <w:r>
        <w:rPr>
          <w:rFonts w:ascii="Calibri" w:hAnsi="Calibri" w:eastAsia="Calibri" w:cs="Calibri"/>
          <w:color w:val="000000"/>
          <w:sz w:val="22"/>
          <w:szCs w:val="22"/>
        </w:rPr>
        <w:t xml:space="preserve">Materazzi A &amp; Triolo E (2001) </w:t>
      </w:r>
      <w:r>
        <w:rPr>
          <w:rFonts w:ascii="Calibri" w:hAnsi="Calibri" w:eastAsia="Calibri" w:cs="Calibri"/>
          <w:i/>
          <w:iCs/>
          <w:color w:val="000000"/>
          <w:sz w:val="22"/>
          <w:szCs w:val="22"/>
        </w:rPr>
        <w:t xml:space="preserve">Spathiphyllum </w:t>
      </w:r>
      <w:r>
        <w:rPr>
          <w:rFonts w:ascii="Calibri" w:hAnsi="Calibri" w:eastAsia="Calibri" w:cs="Calibri"/>
          <w:color w:val="000000"/>
          <w:sz w:val="22"/>
          <w:szCs w:val="22"/>
        </w:rPr>
        <w:t xml:space="preserve">sp.: a new natural host of impatiens necrotic spot virus. </w:t>
      </w:r>
      <w:r>
        <w:rPr>
          <w:rFonts w:ascii="Calibri" w:hAnsi="Calibri" w:eastAsia="Calibri" w:cs="Calibri"/>
          <w:i/>
          <w:iCs/>
          <w:color w:val="000000"/>
          <w:sz w:val="22"/>
          <w:szCs w:val="22"/>
        </w:rPr>
        <w:t xml:space="preserve">Plant Disease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448. </w:t>
      </w:r>
      <w:hyperlink r:id="rId863369710e4becce6" w:history="1">
        <w:r>
          <w:rPr>
            <w:rFonts w:ascii="Calibri" w:hAnsi="Calibri" w:eastAsia="Calibri" w:cs="Calibri"/>
            <w:color w:val="0000CC"/>
            <w:sz w:val="22"/>
            <w:szCs w:val="22"/>
            <w:u w:val="single"/>
          </w:rPr>
          <w:t xml:space="preserve">https://apsjournals.apsnet.org/doi/abs/10.1094/PDIS.2001.85.4.448B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Naidu RA, Deom CM &amp; Sherwood JL (2001) First report of F</w:t>
      </w:r>
      <w:r>
        <w:rPr>
          <w:rFonts w:ascii="Calibri" w:hAnsi="Calibri" w:eastAsia="Calibri" w:cs="Calibri"/>
          <w:i/>
          <w:iCs/>
          <w:color w:val="000000"/>
          <w:sz w:val="22"/>
          <w:szCs w:val="22"/>
        </w:rPr>
        <w:t xml:space="preserve">rankliniella fusca</w:t>
      </w:r>
      <w:r>
        <w:rPr>
          <w:rFonts w:ascii="Calibri" w:hAnsi="Calibri" w:eastAsia="Calibri" w:cs="Calibri"/>
          <w:color w:val="000000"/>
          <w:sz w:val="22"/>
          <w:szCs w:val="22"/>
        </w:rPr>
        <w:t xml:space="preserve"> as a vector of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(11), 1211.</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&amp; Sano T (2018) Symptom development, in planta distribution, and transmission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gentian: evidence for survival in roots and winter buds. </w:t>
      </w:r>
      <w:r>
        <w:rPr>
          <w:rFonts w:ascii="Calibri" w:hAnsi="Calibri" w:eastAsia="Calibri" w:cs="Calibri"/>
          <w:i/>
          <w:iCs/>
          <w:color w:val="000000"/>
          <w:sz w:val="22"/>
          <w:szCs w:val="22"/>
        </w:rPr>
        <w:t xml:space="preserve">Journal of General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279–283.</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Kobayashi K, Fuji S-I, Okuda M &amp; Sano T (2015) Molecular epidemiology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greenhouse ornamental plants in a local area of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Okuda M, Fuji S, Okuda S, Sako K &amp; Iwanami T (2010) Evaluation of the potential of thirty two weed species as infection sources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357–361. </w:t>
      </w:r>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Peng J-C, Chen T-C, Raja JAJ, Yang C-F, Chien W-C, Lin C-H, Liu F-L, Wu H-W &amp; Yeh S-D (2014) Broad-spectrum transgenic resistance against distinct Tospovirus species at the genus level.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 e96073. </w:t>
      </w:r>
      <w:hyperlink r:id="rId437069710e4bed07e" w:history="1">
        <w:r>
          <w:rPr>
            <w:rFonts w:ascii="Calibri" w:hAnsi="Calibri" w:eastAsia="Calibri" w:cs="Calibri"/>
            <w:color w:val="0000CC"/>
            <w:sz w:val="22"/>
            <w:szCs w:val="22"/>
            <w:u w:val="single"/>
          </w:rPr>
          <w:t xml:space="preserve">https://doi.org/10.1371/journal.pone.0096073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Perry KL, Miller L &amp; Williams L (2005)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greenhouse-grown potatoes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340.</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&amp; Naidu RA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(INSV) Infecting Basil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(6), 850.</w:t>
      </w:r>
    </w:p>
    <w:p>
      <w:pPr>
        <w:widowControl w:val="on"/>
        <w:pBdr/>
        <w:spacing w:before="220" w:after="220" w:line="240" w:lineRule="auto"/>
        <w:ind w:left="0" w:right="0"/>
        <w:jc w:val="left"/>
      </w:pPr>
      <w:r>
        <w:rPr>
          <w:rFonts w:ascii="Calibri" w:hAnsi="Calibri" w:eastAsia="Calibri" w:cs="Calibri"/>
          <w:color w:val="000000"/>
          <w:sz w:val="22"/>
          <w:szCs w:val="22"/>
        </w:rPr>
        <w:t xml:space="preserve">Roggero P, Dellavalle G, Ciuffo M &amp; Pennazio S (1999) Effects of temperature on infection in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509–512.</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w:t>
      </w:r>
    </w:p>
    <w:p>
      <w:pPr>
        <w:widowControl w:val="on"/>
        <w:pBdr/>
        <w:spacing w:before="220" w:after="220" w:line="240" w:lineRule="auto"/>
        <w:ind w:left="0" w:right="0"/>
        <w:jc w:val="left"/>
      </w:pPr>
      <w:r>
        <w:rPr>
          <w:rFonts w:ascii="Calibri" w:hAnsi="Calibri" w:eastAsia="Calibri" w:cs="Calibri"/>
          <w:color w:val="000000"/>
          <w:sz w:val="22"/>
          <w:szCs w:val="22"/>
        </w:rPr>
        <w:t xml:space="preserve">Sakurai T, Inoue T &amp; Tsuda S (2004) Distinct efficiencies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transmission by five thrips vector species (Thysanoptera: Thripidae) of tospoviruses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71–78. </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Sears P (2017) </w:t>
      </w:r>
      <w:r>
        <w:rPr>
          <w:rFonts w:ascii="Calibri" w:hAnsi="Calibri" w:eastAsia="Calibri" w:cs="Calibri"/>
          <w:i/>
          <w:iCs/>
          <w:color w:val="000000"/>
          <w:sz w:val="22"/>
          <w:szCs w:val="22"/>
        </w:rPr>
        <w:t xml:space="preserve">Impatiens Necrotic Spot Virus </w:t>
      </w:r>
      <w:r>
        <w:rPr>
          <w:rFonts w:ascii="Calibri" w:hAnsi="Calibri" w:eastAsia="Calibri" w:cs="Calibri"/>
          <w:color w:val="000000"/>
          <w:sz w:val="22"/>
          <w:szCs w:val="22"/>
        </w:rPr>
        <w:t xml:space="preserve">Resistance in Transgenic</w:t>
      </w:r>
      <w:r>
        <w:rPr>
          <w:rFonts w:ascii="Calibri" w:hAnsi="Calibri" w:eastAsia="Calibri" w:cs="Calibri"/>
          <w:i/>
          <w:iCs/>
          <w:color w:val="000000"/>
          <w:sz w:val="22"/>
          <w:szCs w:val="22"/>
        </w:rPr>
        <w:t xml:space="preserve"> Impatiens walleriana </w:t>
      </w:r>
      <w:r>
        <w:rPr>
          <w:rFonts w:ascii="Calibri" w:hAnsi="Calibri" w:eastAsia="Calibri" w:cs="Calibri"/>
          <w:color w:val="000000"/>
          <w:sz w:val="22"/>
          <w:szCs w:val="22"/>
        </w:rPr>
        <w:t xml:space="preserve">&amp;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Master of Science In </w:t>
      </w:r>
      <w:r>
        <w:rPr>
          <w:rFonts w:ascii="Calibri" w:hAnsi="Calibri" w:eastAsia="Calibri" w:cs="Calibri"/>
          <w:i/>
          <w:iCs/>
          <w:color w:val="000000"/>
          <w:sz w:val="22"/>
          <w:szCs w:val="22"/>
        </w:rPr>
        <w:t xml:space="preserve">Horticulture, </w:t>
      </w:r>
      <w:r>
        <w:rPr>
          <w:rFonts w:ascii="Calibri" w:hAnsi="Calibri" w:eastAsia="Calibri" w:cs="Calibri"/>
          <w:color w:val="000000"/>
          <w:sz w:val="22"/>
          <w:szCs w:val="22"/>
        </w:rPr>
        <w:t xml:space="preserve">Virginia Polytechnic Institute and State University, Blacksburg, Virginia, 83 p.</w:t>
      </w:r>
    </w:p>
    <w:p>
      <w:pPr>
        <w:widowControl w:val="on"/>
        <w:pBdr/>
        <w:spacing w:before="220" w:after="220" w:line="240" w:lineRule="auto"/>
        <w:ind w:left="0" w:right="0"/>
        <w:jc w:val="left"/>
      </w:pPr>
      <w:r>
        <w:rPr>
          <w:rFonts w:ascii="Calibri" w:hAnsi="Calibri" w:eastAsia="Calibri" w:cs="Calibri"/>
          <w:color w:val="000000"/>
          <w:sz w:val="22"/>
          <w:szCs w:val="22"/>
        </w:rPr>
        <w:t xml:space="preserve">Simko I, Richardson CE &amp; Wintermantel WM (2018) Variation within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spp. for resistance to Impatiens necrotic spot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341-348. </w:t>
      </w:r>
      <w:hyperlink r:id="rId522669710e4bed60f" w:history="1">
        <w:r>
          <w:rPr>
            <w:rFonts w:ascii="Calibri" w:hAnsi="Calibri" w:eastAsia="Calibri" w:cs="Calibri"/>
            <w:color w:val="0000CC"/>
            <w:sz w:val="22"/>
            <w:szCs w:val="22"/>
            <w:u w:val="single"/>
          </w:rPr>
          <w:t xml:space="preserve">https://apsjournals.apsnet.org/doi/full/10.1094/PDIS-06-17-0790-RE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Trkulja V, Mihić Salapura J, Ćurković B, Stanković I, Bulajić A, Vučurović A &amp; Krstić B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in Bosnia and Herzegovina.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1004.</w:t>
      </w:r>
    </w:p>
    <w:p>
      <w:pPr>
        <w:widowControl w:val="on"/>
        <w:pBdr/>
        <w:spacing w:before="220" w:after="220" w:line="240" w:lineRule="auto"/>
        <w:ind w:left="0" w:right="0"/>
        <w:jc w:val="left"/>
      </w:pPr>
      <w:r>
        <w:rPr>
          <w:rFonts w:ascii="Calibri" w:hAnsi="Calibri" w:eastAsia="Calibri" w:cs="Calibri"/>
          <w:color w:val="000000"/>
          <w:sz w:val="22"/>
          <w:szCs w:val="22"/>
        </w:rPr>
        <w:t xml:space="preserve">Vaira AM, Roggero P, Luisoni E, Masenga V, Milne RG &amp; Lisa V (1993) Characterization of two tospoviruses in Italy: tomato spotted wilt and impatiens necrotic spot.</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530-542.</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Zheng K, Zhao L, Su X, Zheng X &amp; Wang T (2021) Occurrence, distribution, evolutionary relationships, epidemiology, and management of orthotospoviruses in China. </w:t>
      </w:r>
      <w:r>
        <w:rPr>
          <w:rFonts w:ascii="Calibri" w:hAnsi="Calibri" w:eastAsia="Calibri" w:cs="Calibri"/>
          <w:i/>
          <w:iCs/>
          <w:color w:val="000000"/>
          <w:sz w:val="22"/>
          <w:szCs w:val="22"/>
        </w:rPr>
        <w:t xml:space="preserve">Frontiers in Microbiol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686025. </w:t>
      </w:r>
      <w:hyperlink r:id="rId619269710e4bed7fa" w:history="1">
        <w:r>
          <w:rPr>
            <w:rFonts w:ascii="Calibri" w:hAnsi="Calibri" w:eastAsia="Calibri" w:cs="Calibri"/>
            <w:color w:val="0000CC"/>
            <w:sz w:val="22"/>
            <w:szCs w:val="22"/>
            <w:u w:val="single"/>
          </w:rPr>
          <w:t xml:space="preserve">https://doi.org/10.3389/fmicb.2021.686025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impatiensnecromaculae</w:t>
      </w:r>
      <w:r>
        <w:rPr>
          <w:rFonts w:ascii="Calibri" w:hAnsi="Calibri" w:eastAsia="Calibri" w:cs="Calibri"/>
          <w:color w:val="000000"/>
          <w:sz w:val="22"/>
          <w:szCs w:val="22"/>
        </w:rPr>
        <w:t xml:space="preserve">. EPPO datasheets on pests recommended for regulation. Available online. </w:t>
      </w:r>
      <w:hyperlink r:id="rId728869710e4bed8b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1999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473-476. </w:t>
      </w:r>
      <w:hyperlink r:id="rId612269710e4bed988" w:history="1">
        <w:r>
          <w:rPr>
            <w:rFonts w:ascii="Calibri" w:hAnsi="Calibri" w:eastAsia="Calibri" w:cs="Calibri"/>
            <w:color w:val="0000CC"/>
            <w:sz w:val="22"/>
            <w:szCs w:val="22"/>
            <w:u w:val="single"/>
          </w:rPr>
          <w:t xml:space="preserve">https://doi.org/10.1111/j.1365-2338.1999.tb01421.x</w:t>
        </w:r>
      </w:hyperlink>
      <w:r>
        <w:rPr>
          <w:rFonts w:ascii="Calibri" w:hAnsi="Calibri" w:eastAsia="Calibri" w:cs="Calibri"/>
          <w:color w:val="000000"/>
          <w:sz w:val="22"/>
          <w:szCs w:val="22"/>
        </w:rPr>
        <w:t xml:space="preserve"> </w:t>
      </w:r>
    </w:p>
    <w:p>
      <w:r>
        <w:drawing>
          <wp:inline distT="0" distB="0" distL="0" distR="0">
            <wp:extent cx="1800000" cy="604800"/>
            <wp:docPr id="79298984" name="name492569710e4bed9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6569710e4bed9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977040">
    <w:multiLevelType w:val="hybridMultilevel"/>
    <w:lvl w:ilvl="0" w:tplc="90841375">
      <w:start w:val="1"/>
      <w:numFmt w:val="decimal"/>
      <w:lvlText w:val="%1."/>
      <w:lvlJc w:val="left"/>
      <w:pPr>
        <w:ind w:left="720" w:hanging="360"/>
      </w:pPr>
    </w:lvl>
    <w:lvl w:ilvl="1" w:tplc="90841375" w:tentative="1">
      <w:start w:val="1"/>
      <w:numFmt w:val="lowerLetter"/>
      <w:lvlText w:val="%2."/>
      <w:lvlJc w:val="left"/>
      <w:pPr>
        <w:ind w:left="1440" w:hanging="360"/>
      </w:pPr>
    </w:lvl>
    <w:lvl w:ilvl="2" w:tplc="90841375" w:tentative="1">
      <w:start w:val="1"/>
      <w:numFmt w:val="lowerRoman"/>
      <w:lvlText w:val="%3."/>
      <w:lvlJc w:val="right"/>
      <w:pPr>
        <w:ind w:left="2160" w:hanging="180"/>
      </w:pPr>
    </w:lvl>
    <w:lvl w:ilvl="3" w:tplc="90841375" w:tentative="1">
      <w:start w:val="1"/>
      <w:numFmt w:val="decimal"/>
      <w:lvlText w:val="%4."/>
      <w:lvlJc w:val="left"/>
      <w:pPr>
        <w:ind w:left="2880" w:hanging="360"/>
      </w:pPr>
    </w:lvl>
    <w:lvl w:ilvl="4" w:tplc="90841375" w:tentative="1">
      <w:start w:val="1"/>
      <w:numFmt w:val="lowerLetter"/>
      <w:lvlText w:val="%5."/>
      <w:lvlJc w:val="left"/>
      <w:pPr>
        <w:ind w:left="3600" w:hanging="360"/>
      </w:pPr>
    </w:lvl>
    <w:lvl w:ilvl="5" w:tplc="90841375" w:tentative="1">
      <w:start w:val="1"/>
      <w:numFmt w:val="lowerRoman"/>
      <w:lvlText w:val="%6."/>
      <w:lvlJc w:val="right"/>
      <w:pPr>
        <w:ind w:left="4320" w:hanging="180"/>
      </w:pPr>
    </w:lvl>
    <w:lvl w:ilvl="6" w:tplc="90841375" w:tentative="1">
      <w:start w:val="1"/>
      <w:numFmt w:val="decimal"/>
      <w:lvlText w:val="%7."/>
      <w:lvlJc w:val="left"/>
      <w:pPr>
        <w:ind w:left="5040" w:hanging="360"/>
      </w:pPr>
    </w:lvl>
    <w:lvl w:ilvl="7" w:tplc="90841375" w:tentative="1">
      <w:start w:val="1"/>
      <w:numFmt w:val="lowerLetter"/>
      <w:lvlText w:val="%8."/>
      <w:lvlJc w:val="left"/>
      <w:pPr>
        <w:ind w:left="5760" w:hanging="360"/>
      </w:pPr>
    </w:lvl>
    <w:lvl w:ilvl="8" w:tplc="90841375" w:tentative="1">
      <w:start w:val="1"/>
      <w:numFmt w:val="lowerRoman"/>
      <w:lvlText w:val="%9."/>
      <w:lvlJc w:val="right"/>
      <w:pPr>
        <w:ind w:left="6480" w:hanging="180"/>
      </w:pPr>
    </w:lvl>
  </w:abstractNum>
  <w:abstractNum w:abstractNumId="74977039">
    <w:multiLevelType w:val="hybridMultilevel"/>
    <w:lvl w:ilvl="0" w:tplc="293949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977039">
    <w:abstractNumId w:val="74977039"/>
  </w:num>
  <w:num w:numId="74977040">
    <w:abstractNumId w:val="749770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2660181" Type="http://schemas.microsoft.com/office/2011/relationships/commentsExtended" Target="commentsExtended.xml"/><Relationship Id="rId119246078" Type="http://schemas.microsoft.com/office/2011/relationships/people" Target="people.xml"/><Relationship Id="rId540769710e4be6fc2" Type="http://schemas.openxmlformats.org/officeDocument/2006/relationships/hyperlink" Target="https://gd.eppo.int/taxon/INSV00/" TargetMode="External"/><Relationship Id="rId459869710e4be702b" Type="http://schemas.openxmlformats.org/officeDocument/2006/relationships/hyperlink" Target="https://gd.eppo.int/taxon/INSV00/categorization" TargetMode="External"/><Relationship Id="rId346769710e4be788c" Type="http://schemas.openxmlformats.org/officeDocument/2006/relationships/hyperlink" Target="https://gd.eppo.int/taxon/INSV00/photos" TargetMode="External"/><Relationship Id="rId692069710e4be79f4" Type="http://schemas.openxmlformats.org/officeDocument/2006/relationships/hyperlink" Target="https://talk.ictvonline.org/taxonomy/" TargetMode="External"/><Relationship Id="rId325269710e4bebd14" Type="http://schemas.openxmlformats.org/officeDocument/2006/relationships/hyperlink" Target="https://doi.org/10.1007/s00705-019-04253-6" TargetMode="External"/><Relationship Id="rId328069710e4bec2c5" Type="http://schemas.openxmlformats.org/officeDocument/2006/relationships/hyperlink" Target="https://doi.org/10.2903/j.efsa.2012.3029" TargetMode="External"/><Relationship Id="rId494969710e4bec326" Type="http://schemas.openxmlformats.org/officeDocument/2006/relationships/hyperlink" Target="https://doi.org/10.2903/j.efsa.2012.2772" TargetMode="External"/><Relationship Id="rId575469710e4bec63f" Type="http://schemas.openxmlformats.org/officeDocument/2006/relationships/hyperlink" Target="https://gd.eppo.int" TargetMode="External"/><Relationship Id="rId516369710e4bec78f" Type="http://schemas.openxmlformats.org/officeDocument/2006/relationships/hyperlink" Target="https://doi.org/10.1371/journal.pone.0147342" TargetMode="External"/><Relationship Id="rId845169710e4bec816" Type="http://schemas.openxmlformats.org/officeDocument/2006/relationships/hyperlink" Target="https://doi.org/10.1094/PDIS-09-21-2118-PDN" TargetMode="External"/><Relationship Id="rId481669710e4becacd" Type="http://schemas.openxmlformats.org/officeDocument/2006/relationships/hyperlink" Target="https://doi.org/10.3390/v13050842" TargetMode="External"/><Relationship Id="rId863369710e4becce6" Type="http://schemas.openxmlformats.org/officeDocument/2006/relationships/hyperlink" Target="https://apsjournals.apsnet.org/doi/abs/10.1094/PDIS.2001.85.4.448B" TargetMode="External"/><Relationship Id="rId437069710e4bed07e" Type="http://schemas.openxmlformats.org/officeDocument/2006/relationships/hyperlink" Target="https://doi.org/10.1371/journal.pone.0096073" TargetMode="External"/><Relationship Id="rId522669710e4bed60f" Type="http://schemas.openxmlformats.org/officeDocument/2006/relationships/hyperlink" Target="https://apsjournals.apsnet.org/doi/full/10.1094/PDIS-06-17-0790-RE" TargetMode="External"/><Relationship Id="rId619269710e4bed7fa" Type="http://schemas.openxmlformats.org/officeDocument/2006/relationships/hyperlink" Target="https://doi.org/10.3389/fmicb.2021.686025" TargetMode="External"/><Relationship Id="rId728869710e4bed8b3" Type="http://schemas.openxmlformats.org/officeDocument/2006/relationships/hyperlink" Target="https://gd.eppo.int" TargetMode="External"/><Relationship Id="rId612269710e4bed988" Type="http://schemas.openxmlformats.org/officeDocument/2006/relationships/hyperlink" Target="https://doi.org/10.1111/j.1365-2338.1999.tb01421.x" TargetMode="External"/><Relationship Id="rId214569710e4be7780" Type="http://schemas.openxmlformats.org/officeDocument/2006/relationships/image" Target="media/imgrId214569710e4be7780.jpg"/><Relationship Id="rId394169710e4bead55" Type="http://schemas.openxmlformats.org/officeDocument/2006/relationships/image" Target="media/imgrId394169710e4bead55.jpg"/><Relationship Id="rId856569710e4bed9f8" Type="http://schemas.openxmlformats.org/officeDocument/2006/relationships/image" Target="media/imgrId856569710e4bed9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