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Hydrocotyle ranunculoides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Hydrocotyle ranunculoides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L.f.</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Apiales: Araliaceae: Hydrocotyloideae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Hydrocotyle natans</w:t>
            </w:r>
            <w:r>
              <w:rPr>
                <w:rFonts w:ascii="Calibri" w:hAnsi="Calibri" w:eastAsia="Calibri" w:cs="Calibri"/>
                <w:color w:val="000000"/>
                <w:position w:val="-3"/>
                <w:sz w:val="22"/>
                <w:szCs w:val="22"/>
              </w:rPr>
              <w:t xml:space="preserve"> Cirillo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floating pennywort, water pennywort</w:t>
            </w:r>
            <w:hyperlink r:id="rId48276a7b715c337f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37006a7b715c3386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HYDRA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7332473" name="name26006a7b715c33ec1" descr="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jpg"/>
                          <pic:cNvPicPr/>
                        </pic:nvPicPr>
                        <pic:blipFill>
                          <a:blip r:embed="rId26846a7b715c33ebf" cstate="print"/>
                          <a:stretch>
                            <a:fillRect/>
                          </a:stretch>
                        </pic:blipFill>
                        <pic:spPr>
                          <a:xfrm>
                            <a:off x="0" y="0"/>
                            <a:ext cx="2160000" cy="1281600"/>
                          </a:xfrm>
                          <a:prstGeom prst="rect">
                            <a:avLst/>
                          </a:prstGeom>
                          <a:ln w="0">
                            <a:noFill/>
                          </a:ln>
                        </pic:spPr>
                      </pic:pic>
                    </a:graphicData>
                  </a:graphic>
                </wp:inline>
              </w:drawing>
            </w:r>
            <w:hyperlink r:id="rId62276a7b715c33f9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populations of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in northern Europe which have been reported as being invasive are believed to originate in North America. However, there are also records in southern Italy, Palestine, and the Caucasus, which were referred to as </w:t>
      </w:r>
      <w:r>
        <w:rPr>
          <w:rFonts w:ascii="Calibri" w:hAnsi="Calibri" w:eastAsia="Calibri" w:cs="Calibri"/>
          <w:i/>
          <w:iCs/>
          <w:color w:val="000000"/>
          <w:sz w:val="22"/>
          <w:szCs w:val="22"/>
        </w:rPr>
        <w:t xml:space="preserve">H. natans</w:t>
      </w:r>
      <w:r>
        <w:rPr>
          <w:rFonts w:ascii="Calibri" w:hAnsi="Calibri" w:eastAsia="Calibri" w:cs="Calibri"/>
          <w:color w:val="000000"/>
          <w:sz w:val="22"/>
          <w:szCs w:val="22"/>
        </w:rPr>
        <w:t xml:space="preserve"> Cirillo in the late 18th and 19th century (</w:t>
      </w:r>
      <w:r>
        <w:rPr>
          <w:rFonts w:ascii="Calibri" w:hAnsi="Calibri" w:eastAsia="Calibri" w:cs="Calibri"/>
          <w:i/>
          <w:iCs/>
          <w:color w:val="000000"/>
          <w:sz w:val="22"/>
          <w:szCs w:val="22"/>
        </w:rPr>
        <w:t xml:space="preserve">H. natans</w:t>
      </w:r>
      <w:r>
        <w:rPr>
          <w:rFonts w:ascii="Calibri" w:hAnsi="Calibri" w:eastAsia="Calibri" w:cs="Calibri"/>
          <w:color w:val="000000"/>
          <w:sz w:val="22"/>
          <w:szCs w:val="22"/>
        </w:rPr>
        <w:t xml:space="preserve"> has since been synonymized with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(e.g., in Flora Europaea; Tutin et al., 1968)), or referred to its var. </w:t>
      </w:r>
      <w:r>
        <w:rPr>
          <w:rFonts w:ascii="Calibri" w:hAnsi="Calibri" w:eastAsia="Calibri" w:cs="Calibri"/>
          <w:i/>
          <w:iCs/>
          <w:color w:val="000000"/>
          <w:sz w:val="22"/>
          <w:szCs w:val="22"/>
        </w:rPr>
        <w:t xml:space="preserve">natans</w:t>
      </w:r>
      <w:r>
        <w:rPr>
          <w:rFonts w:ascii="Calibri" w:hAnsi="Calibri" w:eastAsia="Calibri" w:cs="Calibri"/>
          <w:color w:val="000000"/>
          <w:sz w:val="22"/>
          <w:szCs w:val="22"/>
        </w:rPr>
        <w:t xml:space="preserve"> (Cirillo) Urban. The present status of these forms is not clear, and there is no indication that they have ever been invasive. The European Garden Flora (Cullen, 1997) synonymizes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Hydrocotyle americana</w:t>
      </w:r>
      <w:r>
        <w:rPr>
          <w:rFonts w:ascii="Calibri" w:hAnsi="Calibri" w:eastAsia="Calibri" w:cs="Calibri"/>
          <w:color w:val="000000"/>
          <w:sz w:val="22"/>
          <w:szCs w:val="22"/>
        </w:rPr>
        <w:t xml:space="preserve"> Linnaeus, implying that this species is distinct from the Mediterranean </w:t>
      </w:r>
      <w:r>
        <w:rPr>
          <w:rFonts w:ascii="Calibri" w:hAnsi="Calibri" w:eastAsia="Calibri" w:cs="Calibri"/>
          <w:i/>
          <w:iCs/>
          <w:color w:val="000000"/>
          <w:sz w:val="22"/>
          <w:szCs w:val="22"/>
        </w:rPr>
        <w:t xml:space="preserve">H. natans</w:t>
      </w:r>
      <w:r>
        <w:rPr>
          <w:rFonts w:ascii="Calibri" w:hAnsi="Calibri" w:eastAsia="Calibri" w:cs="Calibri"/>
          <w:color w:val="000000"/>
          <w:sz w:val="22"/>
          <w:szCs w:val="22"/>
        </w:rPr>
        <w:t xml:space="preserve">. However, for North America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americana</w:t>
      </w:r>
      <w:r>
        <w:rPr>
          <w:rFonts w:ascii="Calibri" w:hAnsi="Calibri" w:eastAsia="Calibri" w:cs="Calibri"/>
          <w:color w:val="000000"/>
          <w:sz w:val="22"/>
          <w:szCs w:val="22"/>
        </w:rPr>
        <w:t xml:space="preserve"> are still retained as two distinct species (Crow &amp; Barre Hellquist, 2000; Les, 2018). Since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also occurs in sub-Saharan Africa, more information is needed on the similarities and differences between New World and Old World populations.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is native to the Americas, including the United States of America, Argentina, Brazil, Paraguay, and Uruguay.</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of introduction is via the aquatic nursery trade.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was first recorded in the wild in the United Kingdom in 1990. According to Newman and Dawson (1999), it was present at 29 sites in the south-east of England and in southern Wales in a wide range of water body types and had increased to 71 recorded observations by 2001–01 (Huckle, 2002). The first infestation in the Netherlands was detected and control measures were applied in 1995 (Baas &amp; Duistermaat, 1999). In France,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was first reported in pools in the Essonne valley south of Paris and in the Dombes area (near Lyon) in 2005; invaded pools are completely covered by the end of the growing season. It is also reported in other parts of France. The species has been present in some other southern European countries since at least the 1970s.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infestation in the United Kingdom is assumed to have originated from a single clone which was sold by aquatic garden centres and nurseries (Newman &amp; Dawson, 1999). In the Netherlands, the spread of this species was considered unlikely to be contained from the beginning (van der Meijden et al., 2001).</w:t>
      </w:r>
    </w:p>
    <w:p>
      <w:pPr>
        <w:widowControl w:val="on"/>
        <w:pBdr/>
        <w:spacing w:before="220" w:after="220" w:line="240" w:lineRule="auto"/>
        <w:ind w:left="0" w:right="0"/>
        <w:jc w:val="both"/>
      </w:pPr>
      <w:r>
        <w:rPr>
          <w:rFonts w:ascii="Calibri" w:hAnsi="Calibri" w:eastAsia="Calibri" w:cs="Calibri"/>
          <w:color w:val="000000"/>
          <w:sz w:val="22"/>
          <w:szCs w:val="22"/>
        </w:rPr>
        <w:t xml:space="preserve">In 1983, the plant was observed for the first time in the urban drainage network in the Canning River Regional Park in Western Australia. Eight years later, it had spread throughout the drainage system into the river and nearby wetlands (Ruiz Avila &amp; Klemm, 1996).</w:t>
      </w:r>
    </w:p>
    <w:p>
      <w:r>
        <w:drawing>
          <wp:inline distT="0" distB="0" distL="0" distR="0">
            <wp:extent cx="6120000" cy="3067200"/>
            <wp:docPr id="44680811" name="name85636a7b715c34e41" descr="HYDR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RA_distribution_map.jpg"/>
                    <pic:cNvPicPr/>
                  </pic:nvPicPr>
                  <pic:blipFill>
                    <a:blip r:embed="rId68726a7b715c34e3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France (mainland), Georgia, Germany, Ireland, Israel, Italy (mainland, Sardegna), Netherlands, Spain (mainland), United Kingdom (England, Northern Ireland)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Ethiopia, Kenya, Madagascar, Malawi, Rwanda, Sudan,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Israel, Japan, Lebanon, Syrian Arab Republic,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Québec), Mexico, United States of America (Alabama, Arizona, Arkansas, California, Delaware, Florida, Georgia, Illinois, Kansas, Louisiana, Maryland, Mississippi, New Jersey, New York, North Carolina, Ohio, Oklahoma, Oregon, Pennsylvania, South Carolina, Tennessee, Texas, Virginia, Washington,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Guatemala, Nicaragua,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(Amazonas, Bahia, Distrito Federal, Espirito Santo, Mato Grosso, Mato Grosso do Sul, Minas Gerais, Parana, Rio de Janeiro, Rio Grande do Sul, Santa Catarina, Sao Paulo), Chile, Colombia, Ecuador,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is a stoloniferous, perennial, aquatic plant, with floating and emergent leaves. It is both vegetatively and seed-propagated.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is entirely glabrous, with stems floating in water or creeping onto shorelines. Stems are slender and root freely from nodes at about 4–6 cm intervals. Roots are profuse and hair-like. Leaves are alternate, emergent and held above the horizontal stem on long fleshy petioles, non-peltate, suborbicular to reniform with a cordate base, and frequently broader than long, shallowly or deeply 3–7-lobed, the lobes rounded, crenate or lobulate and subequal. They reach a diameter of 18 cm in suitable habitats in the United Kingdom. Petioles grow up to 35 cm. Flowers are hermaphrodite, white, 5–10 grouped together in a small umbel, borne on a leafless stalk, shorter than the petiole. No sepals, five unconnected petals, five stamens: ovary inferior, two-lobed, two styles. Fruits are nearly round and flat, brownish, with faint ribs and divided into two halves, each with a small persistent stalk (Huckle, 2002; Mathias &amp; Constance, 1976; Northern Prairie Wildlife Research Center, 1999; Washington State Department of Ecology,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Similarities to other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plants are sometimes falsely identified as the native </w:t>
      </w:r>
      <w:r>
        <w:rPr>
          <w:rFonts w:ascii="Calibri" w:hAnsi="Calibri" w:eastAsia="Calibri" w:cs="Calibri"/>
          <w:i/>
          <w:iCs/>
          <w:color w:val="000000"/>
          <w:sz w:val="22"/>
          <w:szCs w:val="22"/>
        </w:rPr>
        <w:t xml:space="preserve">Hydrocotyle vulgaris.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ranunculoidesis</w:t>
      </w:r>
      <w:r>
        <w:rPr>
          <w:rFonts w:ascii="Calibri" w:hAnsi="Calibri" w:eastAsia="Calibri" w:cs="Calibri"/>
          <w:color w:val="000000"/>
          <w:sz w:val="22"/>
          <w:szCs w:val="22"/>
        </w:rPr>
        <w:t xml:space="preserve"> a stoloniferous aquatic perennial plant with floating and emergent leaves. It roots in the shallow margins of slow-flowing waters. In the United Kingdom, the Netherlands and Australia, it forms dense interwoven vegetation mats, rapidly covering the water surface. It has been observed to grow 20 cm per day in the UK under appropriate conditions and it is very competitive, forming monospecific stands. Leaf matter can grow up to 40 cm above the water surface and roots and stems can sink up to 50 cm into the water (Huckle, 2002). </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reproduces primarily by vegetative reproduction, though spread by seed has been observed through sewage treatment works. It can regenerate even from small root fragments. It flowers in July–October in its native range. </w:t>
      </w:r>
    </w:p>
    <w:p>
      <w:pPr>
        <w:widowControl w:val="on"/>
        <w:pBdr/>
        <w:spacing w:before="220" w:after="220" w:line="240" w:lineRule="auto"/>
        <w:ind w:left="0" w:right="0"/>
        <w:jc w:val="both"/>
      </w:pPr>
      <w:r>
        <w:rPr>
          <w:rFonts w:ascii="Calibri" w:hAnsi="Calibri" w:eastAsia="Calibri" w:cs="Calibri"/>
          <w:color w:val="000000"/>
          <w:sz w:val="22"/>
          <w:szCs w:val="22"/>
        </w:rPr>
        <w:t xml:space="preserve">Chromosome number: 2n = 24. There is a wide range of polyploids within the genus </w:t>
      </w:r>
      <w:r>
        <w:rPr>
          <w:rFonts w:ascii="Calibri" w:hAnsi="Calibri" w:eastAsia="Calibri" w:cs="Calibri"/>
          <w:i/>
          <w:iCs/>
          <w:color w:val="000000"/>
          <w:sz w:val="22"/>
          <w:szCs w:val="22"/>
        </w:rPr>
        <w:t xml:space="preserve">Hydrocotyle</w:t>
      </w:r>
      <w:r>
        <w:rPr>
          <w:rFonts w:ascii="Calibri" w:hAnsi="Calibri" w:eastAsia="Calibri" w:cs="Calibri"/>
          <w:color w:val="000000"/>
          <w:sz w:val="22"/>
          <w:szCs w:val="22"/>
        </w:rPr>
        <w:t xml:space="preserve">, with up to 15-ploidy (Moore, 1971, Federov, 1974). Newman (unpubl.) found four distinct groups of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in the United Kingdom population which can be separated by AFLP analysis. There is uncertainty about the extent to which different levels of ploidy between populations influences invasiveness.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Intended habitats in areas where the species is intentionally imported are aquaria and garden ponds. Unintended habitats are slow-flowing and eutrophic water bodies, especially ponds, ditches, and streams.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also colonizes marshes, lake margins and other wet ground and mesotrophic water bodies, e.g. fenland pools. The species prefers high concentrations of nitrate and phosphate, and/or organic matter. The high content of fertilizers in many European waterways due to agricultural practice therefore favours the establishment of this species. It grows below 1500 m ( Newman &amp; Dawson, 1999; van der Krabben &amp; Rotteveel, 2003; Washington State Department of Ecology,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areas</w:t>
      </w:r>
      <w:r>
        <w:rPr>
          <w:rFonts w:ascii="Calibri" w:hAnsi="Calibri" w:eastAsia="Calibri" w:cs="Calibri"/>
          <w:i/>
          <w:iCs/>
          <w:color w:val="000000"/>
          <w:sz w:val="22"/>
          <w:szCs w:val="22"/>
        </w:rPr>
        <w:t xml:space="preserve"> H. ranunculoides</w:t>
      </w:r>
      <w:r>
        <w:rPr>
          <w:rFonts w:ascii="Calibri" w:hAnsi="Calibri" w:eastAsia="Calibri" w:cs="Calibri"/>
          <w:color w:val="000000"/>
          <w:sz w:val="22"/>
          <w:szCs w:val="22"/>
        </w:rPr>
        <w:t xml:space="preserve"> currently invades differ strongly in humidity and temperature, indicating that the species is very adaptable. Low frost tolerance seems to be a limiting factor for the distribution of this plant, though other plants (e.g. </w:t>
      </w:r>
      <w:r>
        <w:rPr>
          <w:rFonts w:ascii="Calibri" w:hAnsi="Calibri" w:eastAsia="Calibri" w:cs="Calibri"/>
          <w:i/>
          <w:iCs/>
          <w:color w:val="000000"/>
          <w:sz w:val="22"/>
          <w:szCs w:val="22"/>
        </w:rPr>
        <w:t xml:space="preserve">Glyceria maxima</w:t>
      </w:r>
      <w:r>
        <w:rPr>
          <w:rFonts w:ascii="Calibri" w:hAnsi="Calibri" w:eastAsia="Calibri" w:cs="Calibri"/>
          <w:color w:val="000000"/>
          <w:sz w:val="22"/>
          <w:szCs w:val="22"/>
        </w:rPr>
        <w:t xml:space="preserve">) provide shelter from frost for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in margins and on non-mown banks.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is typically associated with climates Af, Cf and Dfa in Köppen’s classification, i.e. warm to hot summer, cool to hot winter, wet year round. It may also survive in climate Cs (hot dry summer, cool wet winter). It is hardy to zone 7 (−15°C). It is associated with the vegetation zones: temperate to tropical deciduous forests, temperate steppes, Mediterranean sclerophyllous forests.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on natural enemies in areas where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has invaded. Information on natural enemies in the native range are included under biological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Fragments of plants are transported by flowing water to new locations. Waterfowl can spread viable fragments of the plant (Huckle, 2002), and this is also suggested as a pathway for spread in France. The main pathway of movement is, however, distribution and sale by the aquatic nursery trade. This may also involve contamination of other aquatic plants with fragments of</w:t>
      </w:r>
      <w:r>
        <w:rPr>
          <w:rFonts w:ascii="Calibri" w:hAnsi="Calibri" w:eastAsia="Calibri" w:cs="Calibri"/>
          <w:i/>
          <w:iCs/>
          <w:color w:val="000000"/>
          <w:sz w:val="22"/>
          <w:szCs w:val="22"/>
        </w:rPr>
        <w:t xml:space="preserve"> H. ranunculoides.</w:t>
      </w:r>
      <w:r>
        <w:rPr>
          <w:rFonts w:ascii="Calibri" w:hAnsi="Calibri" w:eastAsia="Calibri" w:cs="Calibri"/>
          <w:color w:val="000000"/>
          <w:sz w:val="22"/>
          <w:szCs w:val="22"/>
        </w:rPr>
        <w:t xml:space="preserve"> Spread from the intended to the unintended habitat then occurs primarily as a result of cleaning aquaria and garden ponds where </w:t>
      </w:r>
      <w:r>
        <w:rPr>
          <w:rFonts w:ascii="Calibri" w:hAnsi="Calibri" w:eastAsia="Calibri" w:cs="Calibri"/>
          <w:i/>
          <w:iCs/>
          <w:color w:val="000000"/>
          <w:sz w:val="22"/>
          <w:szCs w:val="22"/>
        </w:rPr>
        <w:t xml:space="preserve">H. ranunculoides </w:t>
      </w:r>
      <w:r>
        <w:rPr>
          <w:rFonts w:ascii="Calibri" w:hAnsi="Calibri" w:eastAsia="Calibri" w:cs="Calibri"/>
          <w:color w:val="000000"/>
          <w:sz w:val="22"/>
          <w:szCs w:val="22"/>
        </w:rPr>
        <w:t xml:space="preserve">has been grown.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left"/>
      </w:pPr>
      <w:r>
        <w:rPr>
          <w:rFonts w:ascii="Calibri" w:hAnsi="Calibri" w:eastAsia="Calibri" w:cs="Calibri"/>
          <w:color w:val="000000"/>
          <w:sz w:val="22"/>
          <w:szCs w:val="22"/>
        </w:rPr>
        <w:t xml:space="preserve">The potential of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to become a weed was first stated in a publication dating from 1936 (Huckle, 2002). Due to its vigorous growth,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causes loss of light and reduction in dissolved oxygen content. The native aquatic flora can be outcompeted and ecosystem functions can be altered. As a consequence, keystone species, endangered species and biodiversity can be reduced. In the EPPO region, where present,</w:t>
      </w:r>
      <w:r>
        <w:rPr>
          <w:rFonts w:ascii="Calibri" w:hAnsi="Calibri" w:eastAsia="Calibri" w:cs="Calibri"/>
          <w:i/>
          <w:iCs/>
          <w:color w:val="000000"/>
          <w:sz w:val="22"/>
          <w:szCs w:val="22"/>
        </w:rPr>
        <w:t xml:space="preserve"> H. ranunculoides</w:t>
      </w:r>
      <w:r>
        <w:rPr>
          <w:rFonts w:ascii="Calibri" w:hAnsi="Calibri" w:eastAsia="Calibri" w:cs="Calibri"/>
          <w:color w:val="000000"/>
          <w:sz w:val="22"/>
          <w:szCs w:val="22"/>
        </w:rPr>
        <w:t xml:space="preserve"> competes with many plant species in the habitats it invades. These may include water-edge plants such as species of </w:t>
      </w:r>
      <w:r>
        <w:rPr>
          <w:rFonts w:ascii="Calibri" w:hAnsi="Calibri" w:eastAsia="Calibri" w:cs="Calibri"/>
          <w:i/>
          <w:iCs/>
          <w:color w:val="000000"/>
          <w:sz w:val="22"/>
          <w:szCs w:val="22"/>
        </w:rPr>
        <w:t xml:space="preserve">Carex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Myosotis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Rorippa </w:t>
      </w:r>
      <w:r>
        <w:rPr>
          <w:rFonts w:ascii="Calibri" w:hAnsi="Calibri" w:eastAsia="Calibri" w:cs="Calibri"/>
          <w:color w:val="000000"/>
          <w:sz w:val="22"/>
          <w:szCs w:val="22"/>
        </w:rPr>
        <w:t xml:space="preserve">and also submerged aquatic plants shaded out due to floating mats of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is a useful plant in aquaria and garden ponds, but other species could adequately replace it. When it spreads to unintended habitats, it presents a lasting threat to the native recreational flora. Though Baas &amp; Holverda (1996) initially stated that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would cause no significant harm in the Netherlands, this statement had to be retracted only three years later by Baas &amp; Duistermaat (1999), as they then expected this plant to cause major impact on plants in nature reserves and recreation areas.</w:t>
      </w:r>
      <w:r>
        <w:rPr>
          <w:rFonts w:ascii="Calibri" w:hAnsi="Calibri" w:eastAsia="Calibri" w:cs="Calibri"/>
          <w:i/>
          <w:iCs/>
          <w:color w:val="000000"/>
          <w:sz w:val="22"/>
          <w:szCs w:val="22"/>
        </w:rPr>
        <w:t xml:space="preserve"> H. ranunculoides</w:t>
      </w:r>
      <w:r>
        <w:rPr>
          <w:rFonts w:ascii="Calibri" w:hAnsi="Calibri" w:eastAsia="Calibri" w:cs="Calibri"/>
          <w:color w:val="000000"/>
          <w:sz w:val="22"/>
          <w:szCs w:val="22"/>
        </w:rPr>
        <w:t xml:space="preserve"> can damage waterworks and, as well as displacing native flora through competition, can affect fauna by habitat modification (van der Krabben &amp; Rotteveel, 2003). Dense mats reduce penetration of light to the water below and oxygen shortage may induce high fish mortality. Strongly invaded waters loose their attractiveness and safety for recreation. Flooding may be caused by heavy infestations chocking drainage systems and sluices. Plants accumulate heavy metals, making disposal of plant material problematic.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Mechanical 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case of mechanical removal, the areas of concern should be fenced or netted off, to reduce the risk that water downstream is infested. Also, all cut plant material should be removed from the water, otherwise spread and impact can even be increased due to the high regeneration capability of the species. The first infestation in Dutch urban waterways in 1995 was apparently controlled successfully by mechanical removal of plant material and a severe winter. Now the situation has changed and the plant proved to be hardy to severe frosts when protected by surrounding vegetation. Baas &amp; Duistermaat (1999) conclude that</w:t>
      </w:r>
      <w:r>
        <w:rPr>
          <w:rFonts w:ascii="Calibri" w:hAnsi="Calibri" w:eastAsia="Calibri" w:cs="Calibri"/>
          <w:i/>
          <w:iCs/>
          <w:color w:val="000000"/>
          <w:sz w:val="22"/>
          <w:szCs w:val="22"/>
        </w:rPr>
        <w:t xml:space="preserve"> H. ranunculoides</w:t>
      </w:r>
      <w:r>
        <w:rPr>
          <w:rFonts w:ascii="Calibri" w:hAnsi="Calibri" w:eastAsia="Calibri" w:cs="Calibri"/>
          <w:color w:val="000000"/>
          <w:sz w:val="22"/>
          <w:szCs w:val="22"/>
        </w:rPr>
        <w:t xml:space="preserve"> in the Netherlands can probably not be eradicated or contained.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Chemical 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Newman &amp; Dawson (1999),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is most susceptible to the herbicide 2,4-D amine applied at 4.23 kg/ha active substance, and is resistant to glyphosate applied at 2.16 kg/ha active substance, probably due to insufficient uptake through the leaf cuticle. The treatment with 2,4-D amine should be done at the end of the growing season when submerged apical stem tips are no longer present, as these are unaffected by the herbicide. To guarantee that all plant material is treated, a follow-up spot treatment or mechanical removal 2–4 weeks after the first treatment is very important. In some countries (e.g. Germany), treatment of water bodies with herbicides is prohibited.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Biological control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Listronotus elongatus </w:t>
      </w:r>
      <w:r>
        <w:rPr>
          <w:rFonts w:ascii="Calibri" w:hAnsi="Calibri" w:eastAsia="Calibri" w:cs="Calibri"/>
          <w:color w:val="000000"/>
          <w:sz w:val="22"/>
          <w:szCs w:val="22"/>
        </w:rPr>
        <w:t xml:space="preserve">(Curculionidae), a weevil, has been found to feed exclusively on </w:t>
      </w:r>
      <w:r>
        <w:rPr>
          <w:rFonts w:ascii="Calibri" w:hAnsi="Calibri" w:eastAsia="Calibri" w:cs="Calibri"/>
          <w:i/>
          <w:iCs/>
          <w:color w:val="000000"/>
          <w:sz w:val="22"/>
          <w:szCs w:val="22"/>
        </w:rPr>
        <w:t xml:space="preserve">Hydrocotyle </w:t>
      </w:r>
      <w:r>
        <w:rPr>
          <w:rFonts w:ascii="Calibri" w:hAnsi="Calibri" w:eastAsia="Calibri" w:cs="Calibri"/>
          <w:color w:val="000000"/>
          <w:sz w:val="22"/>
          <w:szCs w:val="22"/>
        </w:rPr>
        <w:t xml:space="preserve">species in Argentina (Cabrea Walsh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Newman, 2003). Further research on this potential biological control agent revealed its preference and successful survival on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(Cabrera Walsh &amp; Maestro, 2017). These results convinced the competent authorities in the United Kingdom to approve field trials in 2021. Preliminary results look promising (CABI, 2024), and further field trials have started in the Netherlands in September 2025.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Possibilities for eradication </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is possible in the very early stage of invasion. Central organization and funding are crucially important, and so is legislation. </w:t>
      </w:r>
    </w:p>
    <w:p>
      <w:pPr>
        <w:widowControl w:val="on"/>
        <w:pBdr/>
        <w:spacing w:before="220" w:after="220" w:line="240" w:lineRule="auto"/>
        <w:ind w:left="0" w:right="0"/>
        <w:jc w:val="both"/>
      </w:pPr>
      <w:r>
        <w:rPr>
          <w:rFonts w:ascii="Calibri" w:hAnsi="Calibri" w:eastAsia="Calibri" w:cs="Calibri"/>
          <w:color w:val="000000"/>
          <w:sz w:val="22"/>
          <w:szCs w:val="22"/>
        </w:rPr>
        <w:t xml:space="preserve">An example of control costs is the investment by the Western Australian government to control </w:t>
      </w:r>
      <w:r>
        <w:rPr>
          <w:rFonts w:ascii="Calibri" w:hAnsi="Calibri" w:eastAsia="Calibri" w:cs="Calibri"/>
          <w:i/>
          <w:iCs/>
          <w:color w:val="000000"/>
          <w:sz w:val="22"/>
          <w:szCs w:val="22"/>
        </w:rPr>
        <w:t xml:space="preserve">H. ranunculoides </w:t>
      </w:r>
      <w:r>
        <w:rPr>
          <w:rFonts w:ascii="Calibri" w:hAnsi="Calibri" w:eastAsia="Calibri" w:cs="Calibri"/>
          <w:color w:val="000000"/>
          <w:sz w:val="22"/>
          <w:szCs w:val="22"/>
        </w:rPr>
        <w:t xml:space="preserve">in the Canning River. The species became a serious problem in 1992 and after declaration as a P2 plant (a plant to be eradicated), a program costing over 200 000 AUD in the first year was implemented (AFFA, 2003). In the Netherlands, some waterboards faced a doubling of costs each year during the 1990s, and, in 2000, the total control costs were around 1 million EUR (van der Krabben &amp; Rotteveel, 2003). Impacts have increased since, as its presence has increased tenfold. Information on actual costs are hard to obtain as management of invasive plants is often not specified at species level.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left"/>
      </w:pPr>
      <w:r>
        <w:rPr>
          <w:rFonts w:ascii="Calibri" w:hAnsi="Calibri" w:eastAsia="Calibri" w:cs="Calibri"/>
          <w:color w:val="000000"/>
          <w:sz w:val="22"/>
          <w:szCs w:val="22"/>
        </w:rPr>
        <w:t xml:space="preserve">In 2001–01, the Dutch Ministry van Landbouw, Natuurbeheer en Visserij prohibited the sale and possession of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Due to its high invasiveness, the Royal Horticultural Society in the United Kingdom prohibited this plant at its shows and gardens (Shaw, 2003). In 2005, EPPO added this plant to its A2 List of pests recommended for regulation.</w:t>
      </w:r>
    </w:p>
    <w:p>
      <w:pPr>
        <w:widowControl w:val="on"/>
        <w:pBdr/>
        <w:spacing w:before="220" w:after="220" w:line="240" w:lineRule="auto"/>
        <w:ind w:left="0" w:right="0"/>
        <w:jc w:val="left"/>
      </w:pPr>
      <w:r>
        <w:rPr>
          <w:rFonts w:ascii="Calibri" w:hAnsi="Calibri" w:eastAsia="Calibri" w:cs="Calibri"/>
          <w:color w:val="000000"/>
          <w:sz w:val="22"/>
          <w:szCs w:val="22"/>
        </w:rPr>
        <w:t xml:space="preserve">In 2016, </w:t>
      </w:r>
      <w:r>
        <w:rPr>
          <w:rFonts w:ascii="Calibri" w:hAnsi="Calibri" w:eastAsia="Calibri" w:cs="Calibri"/>
          <w:i/>
          <w:iCs/>
          <w:color w:val="000000"/>
          <w:sz w:val="22"/>
          <w:szCs w:val="22"/>
        </w:rPr>
        <w:t xml:space="preserve">H. </w:t>
      </w:r>
      <w:r>
        <w:rPr>
          <w:rFonts w:ascii="Calibri" w:hAnsi="Calibri" w:eastAsia="Calibri" w:cs="Calibri"/>
          <w:i/>
          <w:iCs/>
          <w:color w:val="000000"/>
          <w:sz w:val="22"/>
          <w:szCs w:val="22"/>
        </w:rPr>
        <w:t xml:space="preserve">ranunculoides </w:t>
      </w:r>
      <w:r>
        <w:rPr>
          <w:rFonts w:ascii="Calibri" w:hAnsi="Calibri" w:eastAsia="Calibri" w:cs="Calibri"/>
          <w:color w:val="000000"/>
          <w:sz w:val="22"/>
          <w:szCs w:val="22"/>
        </w:rPr>
        <w:t xml:space="preserve">was included in the EU Regulation 1143/2014 and the species is now on the list of species of Union concern.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recommends phytosanitary measures for plants for planting (including seed). The measures identified includes the prohibition of import of the species into the EPPO region and a prohibition on the selling of the species in the EPPO region.  </w:t>
      </w:r>
    </w:p>
    <w:p>
      <w:pPr>
        <w:widowControl w:val="on"/>
        <w:pBdr/>
        <w:spacing w:before="220" w:after="220" w:line="240" w:lineRule="auto"/>
        <w:ind w:left="0" w:right="0"/>
        <w:jc w:val="left"/>
      </w:pPr>
      <w:r>
        <w:rPr>
          <w:rFonts w:ascii="Calibri" w:hAnsi="Calibri" w:eastAsia="Calibri" w:cs="Calibri"/>
          <w:color w:val="000000"/>
          <w:sz w:val="22"/>
          <w:szCs w:val="22"/>
        </w:rPr>
        <w:t xml:space="preserve">Early detection is important to identify new occurrences of the species.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should be monitored and, where it occurs, control measures should be implemented with the aim of eradication or containment. In addition, public awareness campaigns to prevent spread from existing populations in countries at high risk are necessary.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should be banned from sale in countries within the EPPO region and action to remove it from the natural environment encouraged. </w:t>
      </w:r>
    </w:p>
    <w:p>
      <w:pPr>
        <w:widowControl w:val="on"/>
        <w:pBdr/>
        <w:spacing w:before="220" w:after="220" w:line="240" w:lineRule="auto"/>
        <w:ind w:left="0" w:right="0"/>
        <w:jc w:val="left"/>
      </w:pPr>
      <w:r>
        <w:rPr>
          <w:rFonts w:ascii="Calibri" w:hAnsi="Calibri" w:eastAsia="Calibri" w:cs="Calibri"/>
          <w:color w:val="000000"/>
          <w:sz w:val="22"/>
          <w:szCs w:val="22"/>
        </w:rPr>
        <w:t xml:space="preserve">The EPPO Standard PM 9/19 </w:t>
      </w:r>
      <w:r>
        <w:rPr>
          <w:rFonts w:ascii="Calibri" w:hAnsi="Calibri" w:eastAsia="Calibri" w:cs="Calibri"/>
          <w:i/>
          <w:iCs/>
          <w:color w:val="000000"/>
          <w:sz w:val="22"/>
          <w:szCs w:val="22"/>
        </w:rPr>
        <w:t xml:space="preserve">Invasive alien aquatic plants</w:t>
      </w:r>
      <w:r>
        <w:rPr>
          <w:rFonts w:ascii="Calibri" w:hAnsi="Calibri" w:eastAsia="Calibri" w:cs="Calibri"/>
          <w:color w:val="000000"/>
          <w:sz w:val="22"/>
          <w:szCs w:val="22"/>
        </w:rPr>
        <w:t xml:space="preserve">, describes procedures for control of invasive alien plants. In addition, the EPPO Standard PM 3/97 </w:t>
      </w:r>
      <w:r>
        <w:rPr>
          <w:rFonts w:ascii="Calibri" w:hAnsi="Calibri" w:eastAsia="Calibri" w:cs="Calibri"/>
          <w:i/>
          <w:iCs/>
          <w:color w:val="000000"/>
          <w:sz w:val="22"/>
          <w:szCs w:val="22"/>
        </w:rPr>
        <w:t xml:space="preserve">Inspection of consignments of plants for planting for invasive alien plants</w:t>
      </w:r>
      <w:r>
        <w:rPr>
          <w:rFonts w:ascii="Calibri" w:hAnsi="Calibri" w:eastAsia="Calibri" w:cs="Calibri"/>
          <w:color w:val="000000"/>
          <w:sz w:val="22"/>
          <w:szCs w:val="22"/>
        </w:rPr>
        <w:t xml:space="preserve"> provides guidance on how to identify </w:t>
      </w:r>
      <w:r>
        <w:rPr>
          <w:rFonts w:ascii="Calibri" w:hAnsi="Calibri" w:eastAsia="Calibri" w:cs="Calibri"/>
          <w:i/>
          <w:iCs/>
          <w:color w:val="000000"/>
          <w:sz w:val="22"/>
          <w:szCs w:val="22"/>
        </w:rPr>
        <w:t xml:space="preserve">H. ranunculoides</w:t>
      </w:r>
      <w:r>
        <w:rPr>
          <w:rFonts w:ascii="Calibri" w:hAnsi="Calibri" w:eastAsia="Calibri" w:cs="Calibri"/>
          <w:color w:val="000000"/>
          <w:sz w:val="22"/>
          <w:szCs w:val="22"/>
        </w:rPr>
        <w:t xml:space="preserve"> as a contaminant of potted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AFFA (2003) </w:t>
      </w:r>
      <w:r>
        <w:rPr>
          <w:rFonts w:ascii="Calibri" w:hAnsi="Calibri" w:eastAsia="Calibri" w:cs="Calibri"/>
          <w:i/>
          <w:iCs/>
          <w:color w:val="000000"/>
          <w:sz w:val="22"/>
          <w:szCs w:val="22"/>
        </w:rPr>
        <w:t xml:space="preserve">Quarantine Measures to Exclude Aquatic Weeds, Fact sheet no. 47. </w:t>
      </w:r>
    </w:p>
    <w:p>
      <w:pPr>
        <w:widowControl w:val="on"/>
        <w:pBdr/>
        <w:spacing w:before="220" w:after="220" w:line="240" w:lineRule="auto"/>
        <w:ind w:left="0" w:right="0"/>
        <w:jc w:val="left"/>
      </w:pPr>
      <w:r>
        <w:rPr>
          <w:rFonts w:ascii="Calibri" w:hAnsi="Calibri" w:eastAsia="Calibri" w:cs="Calibri"/>
          <w:color w:val="000000"/>
          <w:sz w:val="22"/>
          <w:szCs w:val="22"/>
        </w:rPr>
        <w:t xml:space="preserve">Baas WJ &amp; Duistermaat LH (1999) The invasion of floating pennywort H</w:t>
      </w:r>
      <w:r>
        <w:rPr>
          <w:rFonts w:ascii="Calibri" w:hAnsi="Calibri" w:eastAsia="Calibri" w:cs="Calibri"/>
          <w:i/>
          <w:iCs/>
          <w:color w:val="000000"/>
          <w:sz w:val="22"/>
          <w:szCs w:val="22"/>
        </w:rPr>
        <w:t xml:space="preserve">ydrocotyle ranunculoides </w:t>
      </w:r>
      <w:r>
        <w:rPr>
          <w:rFonts w:ascii="Calibri" w:hAnsi="Calibri" w:eastAsia="Calibri" w:cs="Calibri"/>
          <w:color w:val="000000"/>
          <w:sz w:val="22"/>
          <w:szCs w:val="22"/>
        </w:rPr>
        <w:t xml:space="preserve">in the Netherlands 1996–98. </w:t>
      </w:r>
      <w:r>
        <w:rPr>
          <w:rFonts w:ascii="Calibri" w:hAnsi="Calibri" w:eastAsia="Calibri" w:cs="Calibri"/>
          <w:i/>
          <w:iCs/>
          <w:color w:val="000000"/>
          <w:sz w:val="22"/>
          <w:szCs w:val="22"/>
        </w:rPr>
        <w:t xml:space="preserve">Gorteria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77–82. </w:t>
      </w:r>
    </w:p>
    <w:p>
      <w:pPr>
        <w:widowControl w:val="on"/>
        <w:pBdr/>
        <w:spacing w:before="220" w:after="220" w:line="240" w:lineRule="auto"/>
        <w:ind w:left="0" w:right="0"/>
        <w:jc w:val="left"/>
      </w:pPr>
      <w:r>
        <w:rPr>
          <w:rFonts w:ascii="Calibri" w:hAnsi="Calibri" w:eastAsia="Calibri" w:cs="Calibri"/>
          <w:color w:val="000000"/>
          <w:sz w:val="22"/>
          <w:szCs w:val="22"/>
        </w:rPr>
        <w:t xml:space="preserve">Baas WJ &amp; Holverda WJ (1996)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(greater water pennywort): the current situation. </w:t>
      </w:r>
      <w:r>
        <w:rPr>
          <w:rFonts w:ascii="Calibri" w:hAnsi="Calibri" w:eastAsia="Calibri" w:cs="Calibri"/>
          <w:i/>
          <w:iCs/>
          <w:color w:val="000000"/>
          <w:sz w:val="22"/>
          <w:szCs w:val="22"/>
        </w:rPr>
        <w:t xml:space="preserve">Gorteria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164–165.</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(2024) Progress with Weed Biocontrol Projects. March 2024 </w:t>
      </w:r>
      <w:hyperlink r:id="rId69656a7b715c35bef" w:history="1">
        <w:r>
          <w:rPr>
            <w:rFonts w:ascii="Calibri" w:hAnsi="Calibri" w:eastAsia="Calibri" w:cs="Calibri"/>
            <w:color w:val="0000CC"/>
            <w:sz w:val="22"/>
            <w:szCs w:val="22"/>
            <w:u w:val="single"/>
          </w:rPr>
          <w:t xml:space="preserve">https://www.cabi.org/wp-content/uploads/CABI-weed-biocontrol-Public-Summary_March-2024.pdf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Cabrera Walsh G, Maestro M,  Magalí Dalto Y, Shaw R, Seier M, Cortat G, &amp; Djeddour D (2013) Persistence of floating pennywort patches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Araliaceae) in a canal in its native temperate range: Effect of its natural enemies.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78-83. </w:t>
      </w:r>
      <w:hyperlink r:id="rId14856a7b715c35c87" w:history="1">
        <w:r>
          <w:rPr>
            <w:rFonts w:ascii="Calibri" w:hAnsi="Calibri" w:eastAsia="Calibri" w:cs="Calibri"/>
            <w:color w:val="0000CC"/>
            <w:sz w:val="22"/>
            <w:szCs w:val="22"/>
            <w:u w:val="single"/>
          </w:rPr>
          <w:t xml:space="preserve">https://doi.org/10.1016/j.aquabot.2013.05.011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Cabrera Walsh G &amp;  Maestro M (2017) Assessing the specificity of a herbivore on a plant of uncertain phylogenetic placing: </w:t>
      </w:r>
      <w:r>
        <w:rPr>
          <w:rFonts w:ascii="Calibri" w:hAnsi="Calibri" w:eastAsia="Calibri" w:cs="Calibri"/>
          <w:i/>
          <w:iCs/>
          <w:color w:val="000000"/>
          <w:sz w:val="22"/>
          <w:szCs w:val="22"/>
        </w:rPr>
        <w:t xml:space="preserve">Listronotus elongatus</w:t>
      </w:r>
      <w:r>
        <w:rPr>
          <w:rFonts w:ascii="Calibri" w:hAnsi="Calibri" w:eastAsia="Calibri" w:cs="Calibri"/>
          <w:color w:val="000000"/>
          <w:sz w:val="22"/>
          <w:szCs w:val="22"/>
        </w:rPr>
        <w:t xml:space="preserve"> a herbivore of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269–279. </w:t>
      </w:r>
      <w:hyperlink r:id="rId61726a7b715c35d44" w:history="1">
        <w:r>
          <w:rPr>
            <w:rFonts w:ascii="Calibri" w:hAnsi="Calibri" w:eastAsia="Calibri" w:cs="Calibri"/>
            <w:color w:val="0000CC"/>
            <w:sz w:val="22"/>
            <w:szCs w:val="22"/>
            <w:u w:val="single"/>
          </w:rPr>
          <w:t xml:space="preserve">https://doi.org/10.1007/s10526-017-9785-0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Commission Implementing Regulation (EU) 2025/1422 of 17 July 2025 amending Implementing Regulation (EU) 2016/1141 to update the list of invasive alien species of Union concern. </w:t>
      </w:r>
      <w:r>
        <w:rPr>
          <w:rFonts w:ascii="Calibri" w:hAnsi="Calibri" w:eastAsia="Calibri" w:cs="Calibri"/>
          <w:i/>
          <w:iCs/>
          <w:color w:val="000000"/>
          <w:sz w:val="22"/>
          <w:szCs w:val="22"/>
        </w:rPr>
        <w:t xml:space="preserve">OJ L 2025/1422. </w:t>
      </w:r>
      <w:r>
        <w:rPr>
          <w:rFonts w:ascii="Calibri" w:hAnsi="Calibri" w:eastAsia="Calibri" w:cs="Calibri"/>
          <w:color w:val="000000"/>
          <w:sz w:val="22"/>
          <w:szCs w:val="22"/>
        </w:rPr>
        <w:t xml:space="preserve">  </w:t>
      </w:r>
      <w:hyperlink r:id="rId19816a7b715c35d98" w:history="1"/>
      <w:hyperlink r:id="rId65966a7b715c35d9e" w:history="1">
        <w:r>
          <w:rPr>
            <w:rFonts w:ascii="Calibri" w:hAnsi="Calibri" w:eastAsia="Calibri" w:cs="Calibri"/>
            <w:color w:val="0000CC"/>
            <w:sz w:val="22"/>
            <w:szCs w:val="22"/>
            <w:u w:val="single"/>
          </w:rPr>
          <w:t xml:space="preserve">http://data.europa.eu/eli/reg_impl/2025/1422/oj</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Crow GE &amp; Barre Hellquist C (2000) Aquatic and wetland plants of northeastern North America. A revised and enlarged edition of Norman C. Fassett’s A manual of aquatic plants. The University of Wisconsin Press, Madison (USA).</w:t>
      </w:r>
    </w:p>
    <w:p>
      <w:pPr>
        <w:widowControl w:val="on"/>
        <w:pBdr/>
        <w:spacing w:before="220" w:after="220" w:line="240" w:lineRule="auto"/>
        <w:ind w:left="0" w:right="0"/>
        <w:jc w:val="left"/>
      </w:pPr>
      <w:r>
        <w:rPr>
          <w:rFonts w:ascii="Calibri" w:hAnsi="Calibri" w:eastAsia="Calibri" w:cs="Calibri"/>
          <w:color w:val="000000"/>
          <w:sz w:val="22"/>
          <w:szCs w:val="22"/>
        </w:rPr>
        <w:t xml:space="preserve">Cullen J (1997) The European Garden Flora, Vol. V, p. 392. Cambridge University Press, Cambridge (GB).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EPPO Standard PM 9/19 (1) Invasive alien aquatic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457-471. </w:t>
      </w:r>
      <w:hyperlink r:id="rId81696a7b715c35e77" w:history="1">
        <w:r>
          <w:rPr>
            <w:rFonts w:ascii="Calibri" w:hAnsi="Calibri" w:eastAsia="Calibri" w:cs="Calibri"/>
            <w:color w:val="0000CC"/>
            <w:sz w:val="22"/>
            <w:szCs w:val="22"/>
            <w:u w:val="single"/>
          </w:rPr>
          <w:t xml:space="preserve">https://doi.org/10.1111/epp.12165</w:t>
        </w:r>
      </w:hyperlink>
      <w:r>
        <w:rPr>
          <w:rFonts w:ascii="Calibri" w:hAnsi="Calibri" w:eastAsia="Calibri" w:cs="Calibri"/>
          <w:color w:val="000000"/>
          <w:sz w:val="22"/>
          <w:szCs w:val="22"/>
        </w:rPr>
        <w:t xml:space="preserve">. Also available from </w:t>
      </w:r>
      <w:hyperlink r:id="rId76016a7b715c35e97" w:history="1">
        <w:r>
          <w:rPr>
            <w:rFonts w:ascii="Calibri" w:hAnsi="Calibri" w:eastAsia="Calibri" w:cs="Calibri"/>
            <w:color w:val="0000CC"/>
            <w:sz w:val="22"/>
            <w:szCs w:val="22"/>
            <w:u w:val="single"/>
          </w:rPr>
          <w:t xml:space="preserve">https://gd.eppo.int/standards/PM9/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Pest risk analysis for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Available at: </w:t>
      </w:r>
      <w:hyperlink r:id="rId81666a7b715c35ef3" w:history="1">
        <w:r>
          <w:rPr>
            <w:rFonts w:ascii="Calibri" w:hAnsi="Calibri" w:eastAsia="Calibri" w:cs="Calibri"/>
            <w:color w:val="0000CC"/>
            <w:sz w:val="22"/>
            <w:szCs w:val="22"/>
            <w:u w:val="single"/>
          </w:rPr>
          <w:t xml:space="preserve">https://gd.eppo.int/taxon/HYDRA/documents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 PPM 3/97 Inspection of consignments of plants for planting for invasive alien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274-288. </w:t>
      </w:r>
      <w:hyperlink r:id="rId60506a7b715c35f63" w:history="1">
        <w:r>
          <w:rPr>
            <w:rFonts w:ascii="Calibri" w:hAnsi="Calibri" w:eastAsia="Calibri" w:cs="Calibri"/>
            <w:color w:val="0000CC"/>
            <w:sz w:val="22"/>
            <w:szCs w:val="22"/>
            <w:u w:val="single"/>
          </w:rPr>
          <w:t xml:space="preserve">https://doi.org/10.1111/epp.13033</w:t>
        </w:r>
      </w:hyperlink>
      <w:r>
        <w:rPr>
          <w:rFonts w:ascii="Calibri" w:hAnsi="Calibri" w:eastAsia="Calibri" w:cs="Calibri"/>
          <w:color w:val="000000"/>
          <w:sz w:val="22"/>
          <w:szCs w:val="22"/>
        </w:rPr>
        <w:t xml:space="preserve">. Also available from </w:t>
      </w:r>
      <w:hyperlink r:id="rId75486a7b715c35f81"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Federov A (1974) </w:t>
      </w:r>
      <w:r>
        <w:rPr>
          <w:rFonts w:ascii="Calibri" w:hAnsi="Calibri" w:eastAsia="Calibri" w:cs="Calibri"/>
          <w:i/>
          <w:iCs/>
          <w:color w:val="000000"/>
          <w:sz w:val="22"/>
          <w:szCs w:val="22"/>
        </w:rPr>
        <w:t xml:space="preserve">Chromosome numbers of flowering plants.</w:t>
      </w:r>
      <w:r>
        <w:rPr>
          <w:rFonts w:ascii="Calibri" w:hAnsi="Calibri" w:eastAsia="Calibri" w:cs="Calibri"/>
          <w:color w:val="000000"/>
          <w:sz w:val="22"/>
          <w:szCs w:val="22"/>
        </w:rPr>
        <w:t xml:space="preserve"> Otto Koeltz Science, Koenigstein (DE).</w:t>
      </w:r>
    </w:p>
    <w:p>
      <w:pPr>
        <w:widowControl w:val="on"/>
        <w:pBdr/>
        <w:spacing w:before="220" w:after="220" w:line="240" w:lineRule="auto"/>
        <w:ind w:left="0" w:right="0"/>
        <w:jc w:val="left"/>
      </w:pPr>
      <w:r>
        <w:rPr>
          <w:rFonts w:ascii="Calibri" w:hAnsi="Calibri" w:eastAsia="Calibri" w:cs="Calibri"/>
          <w:color w:val="000000"/>
          <w:sz w:val="22"/>
          <w:szCs w:val="22"/>
        </w:rPr>
        <w:t xml:space="preserve">Huckle J (2002) Invasive alien aquatic plant species, </w:t>
      </w:r>
      <w:r>
        <w:rPr>
          <w:rFonts w:ascii="Calibri" w:hAnsi="Calibri" w:eastAsia="Calibri" w:cs="Calibri"/>
          <w:i/>
          <w:iCs/>
          <w:color w:val="000000"/>
          <w:sz w:val="22"/>
          <w:szCs w:val="22"/>
        </w:rPr>
        <w:t xml:space="preserve">Hydrocotyle ranunculoides. Invasive Alien Species Project. Fact Sheet 2, </w:t>
      </w:r>
      <w:r>
        <w:rPr>
          <w:rFonts w:ascii="Calibri" w:hAnsi="Calibri" w:eastAsia="Calibri" w:cs="Calibri"/>
          <w:color w:val="000000"/>
          <w:sz w:val="22"/>
          <w:szCs w:val="22"/>
        </w:rPr>
        <w:t xml:space="preserve">English Nature: University of Liverpool, Liverpool (GB). </w:t>
      </w:r>
    </w:p>
    <w:p>
      <w:pPr>
        <w:widowControl w:val="on"/>
        <w:pBdr/>
        <w:spacing w:before="220" w:after="220" w:line="240" w:lineRule="auto"/>
        <w:ind w:left="0" w:right="0"/>
        <w:jc w:val="left"/>
      </w:pPr>
      <w:r>
        <w:rPr>
          <w:rFonts w:ascii="Calibri" w:hAnsi="Calibri" w:eastAsia="Calibri" w:cs="Calibri"/>
          <w:color w:val="000000"/>
          <w:sz w:val="22"/>
          <w:szCs w:val="22"/>
        </w:rPr>
        <w:t xml:space="preserve">Les DH (2018) Aquatic dicotyledons of North America: ecology, life history, and systematics. CRC Press, Traylor &amp; Franis, Boca Raton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 ME &amp; Constance L (1976) Umbelliferae. In: </w:t>
      </w:r>
      <w:r>
        <w:rPr>
          <w:rFonts w:ascii="Calibri" w:hAnsi="Calibri" w:eastAsia="Calibri" w:cs="Calibri"/>
          <w:i/>
          <w:iCs/>
          <w:color w:val="000000"/>
          <w:sz w:val="22"/>
          <w:szCs w:val="22"/>
        </w:rPr>
        <w:t xml:space="preserve">Flora of Ecuador</w:t>
      </w:r>
      <w:r>
        <w:rPr>
          <w:rFonts w:ascii="Calibri" w:hAnsi="Calibri" w:eastAsia="Calibri" w:cs="Calibri"/>
          <w:color w:val="000000"/>
          <w:sz w:val="22"/>
          <w:szCs w:val="22"/>
        </w:rPr>
        <w:t xml:space="preserve"> (Eds Harling G &amp; Sarre B), Vol. 5, p. 22. Botanical Institute, Göteborg University, Göteborg (SE). </w:t>
      </w:r>
    </w:p>
    <w:p>
      <w:pPr>
        <w:widowControl w:val="on"/>
        <w:pBdr/>
        <w:spacing w:before="220" w:after="220" w:line="240" w:lineRule="auto"/>
        <w:ind w:left="0" w:right="0"/>
        <w:jc w:val="left"/>
      </w:pPr>
      <w:r>
        <w:rPr>
          <w:rFonts w:ascii="Calibri" w:hAnsi="Calibri" w:eastAsia="Calibri" w:cs="Calibri"/>
          <w:color w:val="000000"/>
          <w:sz w:val="22"/>
          <w:szCs w:val="22"/>
        </w:rPr>
        <w:t xml:space="preserve">Moore DM (1971) Chromosome studies in the Umbelliferae. In: </w:t>
      </w:r>
      <w:r>
        <w:rPr>
          <w:rFonts w:ascii="Calibri" w:hAnsi="Calibri" w:eastAsia="Calibri" w:cs="Calibri"/>
          <w:i/>
          <w:iCs/>
          <w:color w:val="000000"/>
          <w:sz w:val="22"/>
          <w:szCs w:val="22"/>
        </w:rPr>
        <w:t xml:space="preserve">The Biology and Chemistry of the Umbelliferae </w:t>
      </w:r>
      <w:r>
        <w:rPr>
          <w:rFonts w:ascii="Calibri" w:hAnsi="Calibri" w:eastAsia="Calibri" w:cs="Calibri"/>
          <w:color w:val="000000"/>
          <w:sz w:val="22"/>
          <w:szCs w:val="22"/>
        </w:rPr>
        <w:t xml:space="preserve">(Ed. Heywood VH), Academic Press, London (GB). </w:t>
      </w:r>
    </w:p>
    <w:p>
      <w:pPr>
        <w:widowControl w:val="on"/>
        <w:pBdr/>
        <w:spacing w:before="220" w:after="220" w:line="240" w:lineRule="auto"/>
        <w:ind w:left="0" w:right="0"/>
        <w:jc w:val="left"/>
      </w:pPr>
      <w:r>
        <w:rPr>
          <w:rFonts w:ascii="Calibri" w:hAnsi="Calibri" w:eastAsia="Calibri" w:cs="Calibri"/>
          <w:color w:val="000000"/>
          <w:sz w:val="22"/>
          <w:szCs w:val="22"/>
        </w:rPr>
        <w:t xml:space="preserve">Newman JR (2003) Floating pennywort. </w:t>
      </w:r>
      <w:r>
        <w:rPr>
          <w:rFonts w:ascii="Calibri" w:hAnsi="Calibri" w:eastAsia="Calibri" w:cs="Calibri"/>
          <w:i/>
          <w:iCs/>
          <w:color w:val="000000"/>
          <w:sz w:val="22"/>
          <w:szCs w:val="22"/>
        </w:rPr>
        <w:t xml:space="preserve">CAPM Information Sheet 20.</w:t>
      </w:r>
      <w:r>
        <w:rPr>
          <w:rFonts w:ascii="Calibri" w:hAnsi="Calibri" w:eastAsia="Calibri" w:cs="Calibri"/>
          <w:color w:val="000000"/>
          <w:sz w:val="22"/>
          <w:szCs w:val="22"/>
        </w:rPr>
        <w:t xml:space="preserve"> IACR-Centre for Aquatic Plant Management.</w:t>
      </w:r>
    </w:p>
    <w:p>
      <w:pPr>
        <w:widowControl w:val="on"/>
        <w:pBdr/>
        <w:spacing w:before="220" w:after="220" w:line="240" w:lineRule="auto"/>
        <w:ind w:left="0" w:right="0"/>
        <w:jc w:val="left"/>
      </w:pPr>
      <w:r>
        <w:rPr>
          <w:rFonts w:ascii="Calibri" w:hAnsi="Calibri" w:eastAsia="Calibri" w:cs="Calibri"/>
          <w:color w:val="000000"/>
          <w:sz w:val="22"/>
          <w:szCs w:val="22"/>
        </w:rPr>
        <w:t xml:space="preserve">Newman JR &amp; Dawson FH (1999) Ecology, distribution and chemical control of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in the UK.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415</w:t>
      </w:r>
      <w:r>
        <w:rPr>
          <w:rFonts w:ascii="Calibri" w:hAnsi="Calibri" w:eastAsia="Calibri" w:cs="Calibri"/>
          <w:color w:val="000000"/>
          <w:sz w:val="22"/>
          <w:szCs w:val="22"/>
        </w:rPr>
        <w:t xml:space="preserve">, 295–298. </w:t>
      </w:r>
    </w:p>
    <w:p>
      <w:pPr>
        <w:widowControl w:val="on"/>
        <w:pBdr/>
        <w:spacing w:before="220" w:after="220" w:line="240" w:lineRule="auto"/>
        <w:ind w:left="0" w:right="0"/>
        <w:jc w:val="left"/>
      </w:pPr>
      <w:r>
        <w:rPr>
          <w:rFonts w:ascii="Calibri" w:hAnsi="Calibri" w:eastAsia="Calibri" w:cs="Calibri"/>
          <w:color w:val="000000"/>
          <w:sz w:val="22"/>
          <w:szCs w:val="22"/>
        </w:rPr>
        <w:t xml:space="preserve">Northern Prairie Wildlife Research Center (1999) Field office guide to plant species, Floating penny-wort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L.f.  </w:t>
      </w:r>
    </w:p>
    <w:p>
      <w:pPr>
        <w:widowControl w:val="on"/>
        <w:pBdr/>
        <w:spacing w:before="220" w:after="220" w:line="240" w:lineRule="auto"/>
        <w:ind w:left="0" w:right="0"/>
        <w:jc w:val="left"/>
      </w:pPr>
      <w:r>
        <w:rPr>
          <w:rFonts w:ascii="Calibri" w:hAnsi="Calibri" w:eastAsia="Calibri" w:cs="Calibri"/>
          <w:color w:val="000000"/>
          <w:sz w:val="22"/>
          <w:szCs w:val="22"/>
        </w:rPr>
        <w:t xml:space="preserve">Ruiz Avila RJ &amp; Klemm VV (1996) Management of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an aquatic invasive weed of urban waterways in Western Australia. </w:t>
      </w:r>
      <w:r>
        <w:rPr>
          <w:rFonts w:ascii="Calibri" w:hAnsi="Calibri" w:eastAsia="Calibri" w:cs="Calibri"/>
          <w:i/>
          <w:iCs/>
          <w:color w:val="000000"/>
          <w:sz w:val="22"/>
          <w:szCs w:val="22"/>
        </w:rPr>
        <w:t xml:space="preserve">Hydrobiologia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340</w:t>
      </w:r>
      <w:r>
        <w:rPr>
          <w:rFonts w:ascii="Calibri" w:hAnsi="Calibri" w:eastAsia="Calibri" w:cs="Calibri"/>
          <w:color w:val="000000"/>
          <w:sz w:val="22"/>
          <w:szCs w:val="22"/>
        </w:rPr>
        <w:t xml:space="preserve">, 187–190. </w:t>
      </w:r>
    </w:p>
    <w:p>
      <w:pPr>
        <w:widowControl w:val="on"/>
        <w:pBdr/>
        <w:spacing w:before="220" w:after="220" w:line="240" w:lineRule="auto"/>
        <w:ind w:left="0" w:right="0"/>
        <w:jc w:val="left"/>
      </w:pPr>
      <w:r>
        <w:rPr>
          <w:rFonts w:ascii="Calibri" w:hAnsi="Calibri" w:eastAsia="Calibri" w:cs="Calibri"/>
          <w:color w:val="000000"/>
          <w:sz w:val="22"/>
          <w:szCs w:val="22"/>
        </w:rPr>
        <w:t xml:space="preserve">Shaw R (2003) Aliens on the march. </w:t>
      </w:r>
      <w:r>
        <w:rPr>
          <w:rFonts w:ascii="Calibri" w:hAnsi="Calibri" w:eastAsia="Calibri" w:cs="Calibri"/>
          <w:i/>
          <w:iCs/>
          <w:color w:val="000000"/>
          <w:sz w:val="22"/>
          <w:szCs w:val="22"/>
        </w:rPr>
        <w:t xml:space="preserve">Garden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464–465. </w:t>
      </w:r>
    </w:p>
    <w:p>
      <w:pPr>
        <w:widowControl w:val="on"/>
        <w:pBdr/>
        <w:spacing w:before="220" w:after="220" w:line="240" w:lineRule="auto"/>
        <w:ind w:left="0" w:right="0"/>
        <w:jc w:val="left"/>
      </w:pPr>
      <w:r>
        <w:rPr>
          <w:rFonts w:ascii="Calibri" w:hAnsi="Calibri" w:eastAsia="Calibri" w:cs="Calibri"/>
          <w:color w:val="000000"/>
          <w:sz w:val="22"/>
          <w:szCs w:val="22"/>
        </w:rPr>
        <w:t xml:space="preserve">Tutin TG, Heywood VH, Burges NA, Moore DM, Valentine PH, Walters SM &amp; Webb DA (1968)</w:t>
      </w:r>
      <w:r>
        <w:rPr>
          <w:rFonts w:ascii="Calibri" w:hAnsi="Calibri" w:eastAsia="Calibri" w:cs="Calibri"/>
          <w:i/>
          <w:iCs/>
          <w:color w:val="000000"/>
          <w:sz w:val="22"/>
          <w:szCs w:val="22"/>
        </w:rPr>
        <w:t xml:space="preserve"> Flora Europaea,</w:t>
      </w:r>
      <w:r>
        <w:rPr>
          <w:rFonts w:ascii="Calibri" w:hAnsi="Calibri" w:eastAsia="Calibri" w:cs="Calibri"/>
          <w:color w:val="000000"/>
          <w:sz w:val="22"/>
          <w:szCs w:val="22"/>
        </w:rPr>
        <w:t xml:space="preserve"> Vol. 2, p. 319. Cambridge University Press, Cambridge (GB). </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Krabben KPM &amp; Rotteveel AJW (2003) Draft Report of a pest risk assessment of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Plant Protection Service, Wageningen (NL). </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Meijden R, Holverda WJ &amp; van der Slikke WJ (2001) New records of rare plants in 1999 and 2000. </w:t>
      </w:r>
      <w:r>
        <w:rPr>
          <w:rFonts w:ascii="Calibri" w:hAnsi="Calibri" w:eastAsia="Calibri" w:cs="Calibri"/>
          <w:i/>
          <w:iCs/>
          <w:color w:val="000000"/>
          <w:sz w:val="22"/>
          <w:szCs w:val="22"/>
        </w:rPr>
        <w:t xml:space="preserve">Gorteria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121–132. </w:t>
      </w:r>
    </w:p>
    <w:p>
      <w:pPr>
        <w:widowControl w:val="on"/>
        <w:pBdr/>
        <w:spacing w:before="220" w:after="220" w:line="240" w:lineRule="auto"/>
        <w:ind w:left="0" w:right="0"/>
        <w:jc w:val="left"/>
      </w:pPr>
      <w:r>
        <w:rPr>
          <w:rFonts w:ascii="Calibri" w:hAnsi="Calibri" w:eastAsia="Calibri" w:cs="Calibri"/>
          <w:color w:val="000000"/>
          <w:sz w:val="22"/>
          <w:szCs w:val="22"/>
        </w:rPr>
        <w:t xml:space="preserve">Washington State Department of Ecology (2004)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L.F., water pennywort.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2025 by Johan Van Valkenburg Netherlands Food and Consumer Product Safety Authority, the Netherlands.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Hydrocotyle ranunculoides</w:t>
      </w:r>
      <w:r>
        <w:rPr>
          <w:rFonts w:ascii="Calibri" w:hAnsi="Calibri" w:eastAsia="Calibri" w:cs="Calibri"/>
          <w:color w:val="000000"/>
          <w:sz w:val="22"/>
          <w:szCs w:val="22"/>
        </w:rPr>
        <w:t xml:space="preserve">. EPPO datasheets on pests recommended for regulation. Available online. </w:t>
      </w:r>
      <w:hyperlink r:id="rId13146a7b715c3641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2006 and revised in 2025. It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Datasheets on pests recommended for regulation. </w:t>
      </w:r>
      <w:r>
        <w:rPr>
          <w:rFonts w:ascii="Calibri" w:hAnsi="Calibri" w:eastAsia="Calibri" w:cs="Calibri"/>
          <w:i/>
          <w:iCs/>
          <w:color w:val="000000"/>
          <w:sz w:val="22"/>
          <w:szCs w:val="22"/>
        </w:rPr>
        <w:t xml:space="preserve">Hydrocotyle ranunculoides.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3-6. </w:t>
      </w:r>
      <w:hyperlink r:id="rId84016a7b715c364da" w:history="1">
        <w:r>
          <w:rPr>
            <w:rFonts w:ascii="Calibri" w:hAnsi="Calibri" w:eastAsia="Calibri" w:cs="Calibri"/>
            <w:color w:val="0000CC"/>
            <w:sz w:val="22"/>
            <w:szCs w:val="22"/>
            <w:u w:val="single"/>
          </w:rPr>
          <w:t xml:space="preserve">https://doi.org/10.1111/j.1365-2338.2006.00945.x</w:t>
        </w:r>
      </w:hyperlink>
      <w:r>
        <w:rPr>
          <w:rFonts w:ascii="Calibri" w:hAnsi="Calibri" w:eastAsia="Calibri" w:cs="Calibri"/>
          <w:color w:val="000000"/>
          <w:sz w:val="22"/>
          <w:szCs w:val="22"/>
        </w:rPr>
        <w:t xml:space="preserve"> </w:t>
      </w:r>
    </w:p>
    <w:p>
      <w:pPr>
        <w:widowControl w:val="on"/>
        <w:pBdr/>
        <w:spacing w:before="0" w:after="0" w:line="240" w:lineRule="auto"/>
        <w:ind w:left="0" w:right="0"/>
        <w:jc w:val="left"/>
      </w:pPr>
      <w:r>
        <w:rPr>
          <w:rFonts w:ascii="Calibri" w:hAnsi="Calibri" w:eastAsia="Calibri" w:cs="Calibri"/>
          <w:color w:val="000000"/>
          <w:sz w:val="22"/>
          <w:szCs w:val="22"/>
        </w:rPr>
        <w:t xml:space="preserve">
EPPO (2026) Datasheets on  pests recommended for regulation. </w:t>
      </w:r>
      <w:r>
        <w:rPr>
          <w:rFonts w:ascii="Calibri" w:hAnsi="Calibri" w:eastAsia="Calibri" w:cs="Calibri"/>
          <w:i/>
          <w:iCs/>
          <w:color w:val="000000"/>
          <w:sz w:val="22"/>
          <w:szCs w:val="22"/>
        </w:rPr>
        <w:t xml:space="preserve">Hydrocotyle ranunculoides.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125-129</w:t>
      </w:r>
      <w:r>
        <w:rPr>
          <w:rFonts w:ascii="Calibri" w:hAnsi="Calibri" w:eastAsia="Calibri" w:cs="Calibri"/>
          <w:i/>
          <w:iCs/>
          <w:color w:val="000000"/>
          <w:sz w:val="22"/>
          <w:szCs w:val="22"/>
        </w:rPr>
        <w:t xml:space="preserve">  </w:t>
      </w:r>
      <w:hyperlink r:id="rId30776a7b715c3656a" w:history="1">
        <w:r>
          <w:rPr>
            <w:rFonts w:ascii="Calibri" w:hAnsi="Calibri" w:eastAsia="Calibri" w:cs="Calibri"/>
            <w:color w:val="0000CC"/>
            <w:sz w:val="22"/>
            <w:szCs w:val="22"/>
            <w:u w:val="single"/>
          </w:rPr>
          <w:t xml:space="preserve">https://doi.org/10.1111/epp.70048</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591206">
    <w:multiLevelType w:val="hybridMultilevel"/>
    <w:lvl w:ilvl="0" w:tplc="19397504">
      <w:start w:val="1"/>
      <w:numFmt w:val="decimal"/>
      <w:lvlText w:val="%1."/>
      <w:lvlJc w:val="left"/>
      <w:pPr>
        <w:ind w:left="720" w:hanging="360"/>
      </w:pPr>
    </w:lvl>
    <w:lvl w:ilvl="1" w:tplc="19397504" w:tentative="1">
      <w:start w:val="1"/>
      <w:numFmt w:val="lowerLetter"/>
      <w:lvlText w:val="%2."/>
      <w:lvlJc w:val="left"/>
      <w:pPr>
        <w:ind w:left="1440" w:hanging="360"/>
      </w:pPr>
    </w:lvl>
    <w:lvl w:ilvl="2" w:tplc="19397504" w:tentative="1">
      <w:start w:val="1"/>
      <w:numFmt w:val="lowerRoman"/>
      <w:lvlText w:val="%3."/>
      <w:lvlJc w:val="right"/>
      <w:pPr>
        <w:ind w:left="2160" w:hanging="180"/>
      </w:pPr>
    </w:lvl>
    <w:lvl w:ilvl="3" w:tplc="19397504" w:tentative="1">
      <w:start w:val="1"/>
      <w:numFmt w:val="decimal"/>
      <w:lvlText w:val="%4."/>
      <w:lvlJc w:val="left"/>
      <w:pPr>
        <w:ind w:left="2880" w:hanging="360"/>
      </w:pPr>
    </w:lvl>
    <w:lvl w:ilvl="4" w:tplc="19397504" w:tentative="1">
      <w:start w:val="1"/>
      <w:numFmt w:val="lowerLetter"/>
      <w:lvlText w:val="%5."/>
      <w:lvlJc w:val="left"/>
      <w:pPr>
        <w:ind w:left="3600" w:hanging="360"/>
      </w:pPr>
    </w:lvl>
    <w:lvl w:ilvl="5" w:tplc="19397504" w:tentative="1">
      <w:start w:val="1"/>
      <w:numFmt w:val="lowerRoman"/>
      <w:lvlText w:val="%6."/>
      <w:lvlJc w:val="right"/>
      <w:pPr>
        <w:ind w:left="4320" w:hanging="180"/>
      </w:pPr>
    </w:lvl>
    <w:lvl w:ilvl="6" w:tplc="19397504" w:tentative="1">
      <w:start w:val="1"/>
      <w:numFmt w:val="decimal"/>
      <w:lvlText w:val="%7."/>
      <w:lvlJc w:val="left"/>
      <w:pPr>
        <w:ind w:left="5040" w:hanging="360"/>
      </w:pPr>
    </w:lvl>
    <w:lvl w:ilvl="7" w:tplc="19397504" w:tentative="1">
      <w:start w:val="1"/>
      <w:numFmt w:val="lowerLetter"/>
      <w:lvlText w:val="%8."/>
      <w:lvlJc w:val="left"/>
      <w:pPr>
        <w:ind w:left="5760" w:hanging="360"/>
      </w:pPr>
    </w:lvl>
    <w:lvl w:ilvl="8" w:tplc="19397504" w:tentative="1">
      <w:start w:val="1"/>
      <w:numFmt w:val="lowerRoman"/>
      <w:lvlText w:val="%9."/>
      <w:lvlJc w:val="right"/>
      <w:pPr>
        <w:ind w:left="6480" w:hanging="180"/>
      </w:pPr>
    </w:lvl>
  </w:abstractNum>
  <w:abstractNum w:abstractNumId="80591205">
    <w:multiLevelType w:val="hybridMultilevel"/>
    <w:lvl w:ilvl="0" w:tplc="453323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591205">
    <w:abstractNumId w:val="80591205"/>
  </w:num>
  <w:num w:numId="80591206">
    <w:abstractNumId w:val="8059120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8965923" Type="http://schemas.microsoft.com/office/2011/relationships/commentsExtended" Target="commentsExtended.xml"/><Relationship Id="rId210952744" Type="http://schemas.microsoft.com/office/2011/relationships/people" Target="people.xml"/><Relationship Id="rId48276a7b715c337ff" Type="http://schemas.openxmlformats.org/officeDocument/2006/relationships/hyperlink" Target="https://gd.eppo.int/taxon/HYDRA/" TargetMode="External"/><Relationship Id="rId37006a7b715c33868" Type="http://schemas.openxmlformats.org/officeDocument/2006/relationships/hyperlink" Target="https://gd.eppo.int/taxon/HYDRA/categorization" TargetMode="External"/><Relationship Id="rId62276a7b715c33f9b" Type="http://schemas.openxmlformats.org/officeDocument/2006/relationships/hyperlink" Target="https://gd.eppo.int/taxon/HYDRA/photos" TargetMode="External"/><Relationship Id="rId69656a7b715c35bef" Type="http://schemas.openxmlformats.org/officeDocument/2006/relationships/hyperlink" Target="https://www.cabi.org/wp-content/uploads/CABI-weed-biocontrol-Public-Summary_March-2024.pdf" TargetMode="External"/><Relationship Id="rId14856a7b715c35c87" Type="http://schemas.openxmlformats.org/officeDocument/2006/relationships/hyperlink" Target="https://doi.org/10.1016/j.aquabot.2013.05.011" TargetMode="External"/><Relationship Id="rId61726a7b715c35d44" Type="http://schemas.openxmlformats.org/officeDocument/2006/relationships/hyperlink" Target="https://doi.org/10.1007/s10526-017-9785-0" TargetMode="External"/><Relationship Id="rId19816a7b715c35d98" Type="http://schemas.openxmlformats.org/officeDocument/2006/relationships/hyperlink" Target="http://data.europa.eu/eli/reg_impl/2025/1422/oj" TargetMode="External"/><Relationship Id="rId65966a7b715c35d9e" Type="http://schemas.openxmlformats.org/officeDocument/2006/relationships/hyperlink" Target="http://data.europa.eu/eli/reg_impl/2025/1422/oj" TargetMode="External"/><Relationship Id="rId81696a7b715c35e77" Type="http://schemas.openxmlformats.org/officeDocument/2006/relationships/hyperlink" Target="https://doi.org/10.1111/epp.12165" TargetMode="External"/><Relationship Id="rId76016a7b715c35e97" Type="http://schemas.openxmlformats.org/officeDocument/2006/relationships/hyperlink" Target="https://gd.eppo.int/standards/PM9/" TargetMode="External"/><Relationship Id="rId81666a7b715c35ef3" Type="http://schemas.openxmlformats.org/officeDocument/2006/relationships/hyperlink" Target="https://gd.eppo.int/taxon/HYDRA/documents" TargetMode="External"/><Relationship Id="rId60506a7b715c35f63" Type="http://schemas.openxmlformats.org/officeDocument/2006/relationships/hyperlink" Target="https://doi.org/10.1111/epp.13033" TargetMode="External"/><Relationship Id="rId75486a7b715c35f81" Type="http://schemas.openxmlformats.org/officeDocument/2006/relationships/hyperlink" Target="https://gd.eppo.int/standards/PM3/" TargetMode="External"/><Relationship Id="rId13146a7b715c36414" Type="http://schemas.openxmlformats.org/officeDocument/2006/relationships/hyperlink" Target="https://gd.eppo.int" TargetMode="External"/><Relationship Id="rId84016a7b715c364da" Type="http://schemas.openxmlformats.org/officeDocument/2006/relationships/hyperlink" Target="https://doi.org/10.1111/j.1365-2338.2006.00945.x" TargetMode="External"/><Relationship Id="rId30776a7b715c3656a" Type="http://schemas.openxmlformats.org/officeDocument/2006/relationships/hyperlink" Target="https://doi.org/10.1111/epp.70048" TargetMode="External"/><Relationship Id="rId26846a7b715c33ebf" Type="http://schemas.openxmlformats.org/officeDocument/2006/relationships/image" Target="media/imgrId26846a7b715c33ebf.jpg"/><Relationship Id="rId68726a7b715c34e3f" Type="http://schemas.openxmlformats.org/officeDocument/2006/relationships/image" Target="media/imgrId68726a7b715c34e3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