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Hirschmanniella oryzae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Hirschmanniella oryzae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(van Breda de Haan) Luc &amp; Goodey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Pratylenchidae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Anguillulina oryzae</w:t>
            </w:r>
            <w:r>
              <w:rPr>
                <w:rFonts w:ascii="Calibri" w:hAnsi="Calibri" w:eastAsia="Calibri" w:cs="Calibri"/>
                <w:color w:val="000000"/>
                <w:position w:val="-3"/>
                <w:sz w:val="22"/>
                <w:szCs w:val="22"/>
              </w:rPr>
              <w:t xml:space="preserve"> (van Breda de Haan) Goodey, </w:t>
            </w:r>
            <w:r>
              <w:rPr>
                <w:rFonts w:ascii="Calibri" w:hAnsi="Calibri" w:eastAsia="Calibri" w:cs="Calibri"/>
                <w:i/>
                <w:iCs/>
                <w:color w:val="000000"/>
                <w:position w:val="-3"/>
                <w:sz w:val="22"/>
                <w:szCs w:val="22"/>
              </w:rPr>
              <w:t xml:space="preserve">Hirschmannia oryzae</w:t>
            </w:r>
            <w:r>
              <w:rPr>
                <w:rFonts w:ascii="Calibri" w:hAnsi="Calibri" w:eastAsia="Calibri" w:cs="Calibri"/>
                <w:color w:val="000000"/>
                <w:position w:val="-3"/>
                <w:sz w:val="22"/>
                <w:szCs w:val="22"/>
              </w:rPr>
              <w:t xml:space="preserve"> (van Breda de Haan) Luc &amp; Goodey, </w:t>
            </w:r>
            <w:r>
              <w:rPr>
                <w:rFonts w:ascii="Calibri" w:hAnsi="Calibri" w:eastAsia="Calibri" w:cs="Calibri"/>
                <w:i/>
                <w:iCs/>
                <w:color w:val="000000"/>
                <w:position w:val="-3"/>
                <w:sz w:val="22"/>
                <w:szCs w:val="22"/>
              </w:rPr>
              <w:t xml:space="preserve">Hirschmanniella abnormalis</w:t>
            </w:r>
            <w:r>
              <w:rPr>
                <w:rFonts w:ascii="Calibri" w:hAnsi="Calibri" w:eastAsia="Calibri" w:cs="Calibri"/>
                <w:color w:val="000000"/>
                <w:position w:val="-3"/>
                <w:sz w:val="22"/>
                <w:szCs w:val="22"/>
              </w:rPr>
              <w:t xml:space="preserve"> Renubala, Dhanachand &amp; Gambhir, </w:t>
            </w:r>
            <w:r>
              <w:rPr>
                <w:rFonts w:ascii="Calibri" w:hAnsi="Calibri" w:eastAsia="Calibri" w:cs="Calibri"/>
                <w:i/>
                <w:iCs/>
                <w:color w:val="000000"/>
                <w:position w:val="-3"/>
                <w:sz w:val="22"/>
                <w:szCs w:val="22"/>
              </w:rPr>
              <w:t xml:space="preserve">Hirschmanniella apapillata</w:t>
            </w:r>
            <w:r>
              <w:rPr>
                <w:rFonts w:ascii="Calibri" w:hAnsi="Calibri" w:eastAsia="Calibri" w:cs="Calibri"/>
                <w:color w:val="000000"/>
                <w:position w:val="-3"/>
                <w:sz w:val="22"/>
                <w:szCs w:val="22"/>
              </w:rPr>
              <w:t xml:space="preserve"> (Imamura) Siddiqi, </w:t>
            </w:r>
            <w:r>
              <w:rPr>
                <w:rFonts w:ascii="Calibri" w:hAnsi="Calibri" w:eastAsia="Calibri" w:cs="Calibri"/>
                <w:i/>
                <w:iCs/>
                <w:color w:val="000000"/>
                <w:position w:val="-3"/>
                <w:sz w:val="22"/>
                <w:szCs w:val="22"/>
              </w:rPr>
              <w:t xml:space="preserve">Hirschmanniella exacta</w:t>
            </w:r>
            <w:r>
              <w:rPr>
                <w:rFonts w:ascii="Calibri" w:hAnsi="Calibri" w:eastAsia="Calibri" w:cs="Calibri"/>
                <w:color w:val="000000"/>
                <w:position w:val="-3"/>
                <w:sz w:val="22"/>
                <w:szCs w:val="22"/>
              </w:rPr>
              <w:t xml:space="preserve"> Kakar, Siddiqi &amp; Khan, </w:t>
            </w:r>
            <w:r>
              <w:rPr>
                <w:rFonts w:ascii="Calibri" w:hAnsi="Calibri" w:eastAsia="Calibri" w:cs="Calibri"/>
                <w:i/>
                <w:iCs/>
                <w:color w:val="000000"/>
                <w:position w:val="-3"/>
                <w:sz w:val="22"/>
                <w:szCs w:val="22"/>
              </w:rPr>
              <w:t xml:space="preserve">Hirschmanniella exigua</w:t>
            </w:r>
            <w:r>
              <w:rPr>
                <w:rFonts w:ascii="Calibri" w:hAnsi="Calibri" w:eastAsia="Calibri" w:cs="Calibri"/>
                <w:color w:val="000000"/>
                <w:position w:val="-3"/>
                <w:sz w:val="22"/>
                <w:szCs w:val="22"/>
              </w:rPr>
              <w:t xml:space="preserve"> Khan, </w:t>
            </w:r>
            <w:r>
              <w:rPr>
                <w:rFonts w:ascii="Calibri" w:hAnsi="Calibri" w:eastAsia="Calibri" w:cs="Calibri"/>
                <w:i/>
                <w:iCs/>
                <w:color w:val="000000"/>
                <w:position w:val="-3"/>
                <w:sz w:val="22"/>
                <w:szCs w:val="22"/>
              </w:rPr>
              <w:t xml:space="preserve">Hirschmanniella nana</w:t>
            </w:r>
            <w:r>
              <w:rPr>
                <w:rFonts w:ascii="Calibri" w:hAnsi="Calibri" w:eastAsia="Calibri" w:cs="Calibri"/>
                <w:color w:val="000000"/>
                <w:position w:val="-3"/>
                <w:sz w:val="22"/>
                <w:szCs w:val="22"/>
              </w:rPr>
              <w:t xml:space="preserve"> Siddiqi, </w:t>
            </w:r>
            <w:r>
              <w:rPr>
                <w:rFonts w:ascii="Calibri" w:hAnsi="Calibri" w:eastAsia="Calibri" w:cs="Calibri"/>
                <w:i/>
                <w:iCs/>
                <w:color w:val="000000"/>
                <w:position w:val="-3"/>
                <w:sz w:val="22"/>
                <w:szCs w:val="22"/>
              </w:rPr>
              <w:t xml:space="preserve">Radopholus oryzae</w:t>
            </w:r>
            <w:r>
              <w:rPr>
                <w:rFonts w:ascii="Calibri" w:hAnsi="Calibri" w:eastAsia="Calibri" w:cs="Calibri"/>
                <w:color w:val="000000"/>
                <w:position w:val="-3"/>
                <w:sz w:val="22"/>
                <w:szCs w:val="22"/>
              </w:rPr>
              <w:t xml:space="preserve"> (van Breda de Haan) Thorne, </w:t>
            </w:r>
            <w:r>
              <w:rPr>
                <w:rFonts w:ascii="Calibri" w:hAnsi="Calibri" w:eastAsia="Calibri" w:cs="Calibri"/>
                <w:i/>
                <w:iCs/>
                <w:color w:val="000000"/>
                <w:position w:val="-3"/>
                <w:sz w:val="22"/>
                <w:szCs w:val="22"/>
              </w:rPr>
              <w:t xml:space="preserve">Tylenchus oryzae</w:t>
            </w:r>
            <w:r>
              <w:rPr>
                <w:rFonts w:ascii="Calibri" w:hAnsi="Calibri" w:eastAsia="Calibri" w:cs="Calibri"/>
                <w:color w:val="000000"/>
                <w:position w:val="-3"/>
                <w:sz w:val="22"/>
                <w:szCs w:val="22"/>
              </w:rPr>
              <w:t xml:space="preserve"> van Breda de Haan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rice root nematode</w:t>
            </w:r>
            <w:hyperlink r:id="rId90266aafdf377c59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HIRSOR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0597595" name="name70676aafdf377cea9" descr="14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70.jpg"/>
                          <pic:cNvPicPr/>
                        </pic:nvPicPr>
                        <pic:blipFill>
                          <a:blip r:embed="rId55196aafdf377cea7" cstate="print"/>
                          <a:stretch>
                            <a:fillRect/>
                          </a:stretch>
                        </pic:blipFill>
                        <pic:spPr>
                          <a:xfrm>
                            <a:off x="0" y="0"/>
                            <a:ext cx="2160000" cy="1281600"/>
                          </a:xfrm>
                          <a:prstGeom prst="rect">
                            <a:avLst/>
                          </a:prstGeom>
                          <a:ln w="0">
                            <a:noFill/>
                          </a:ln>
                        </pic:spPr>
                      </pic:pic>
                    </a:graphicData>
                  </a:graphic>
                </wp:inline>
              </w:drawing>
            </w:r>
            <w:hyperlink r:id="rId71866aafdf377d00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Among about 29 documented species of rice root nematodes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the most predominant and recorded species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was first reported on rice grown in Java (Indonesia) by Van Breda de Han in 1902 under the name of </w:t>
      </w:r>
      <w:r>
        <w:rPr>
          <w:rFonts w:ascii="Calibri" w:hAnsi="Calibri" w:eastAsia="Calibri" w:cs="Calibri"/>
          <w:i/>
          <w:iCs/>
          <w:color w:val="000000"/>
          <w:sz w:val="22"/>
          <w:szCs w:val="22"/>
        </w:rPr>
        <w:t xml:space="preserve">Tylenchus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Since then, this nematode has been referred to by different names and later changed name to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(Luc &amp; Goodey, 1963). On rice,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often found together with other closely related species;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imamuri</w:t>
      </w:r>
      <w:r>
        <w:rPr>
          <w:rFonts w:ascii="Calibri" w:hAnsi="Calibri" w:eastAsia="Calibri" w:cs="Calibri"/>
          <w:color w:val="000000"/>
          <w:sz w:val="22"/>
          <w:szCs w:val="22"/>
        </w:rPr>
        <w:t xml:space="preserve"> (Ichinohe, 1988)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(Babatola, 1984). Therefore, it is likely that the literatures earlier than 1968 might report mixed species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found in rice root as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(Siddiqi, 1973; MacGowan,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is the major host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Damage to rice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widely reported (Cuc &amp; Prot, 1992;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population levels of the nematode vary depending on rice varieties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authors (Ibrahim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reported that weeds growing in and around rice fields are hosts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Plants in the families of Cyperaceae, Poaceae, Sphenocleaceae are classified as good hosts (Ibrahim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Anwar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diverging reports in the literature regarding the association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with cultivated crops other than rice. Babatola (1979) and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citing other authors, refer to findings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association with cotton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sugarcane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and pearl millet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Other authors have reported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does not infect or multiply in the roots of cotton, maize and wheat (Mathur &amp; Prasad, 1973; Youssef &amp; Eissa, 2014). In Egypt, although low population levels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be found in soil from wheat crops (Eissa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Korayem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no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was extracted from wheat roots (Eissa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experiments, wheat, cotton, sugarcane, pearl millet,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okra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were documented as susceptible to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(Babatola, 1979;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However, for cotton, wheat and maize and other crops, Abd-Elbary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(2012) and Mathur &amp; Prasad (1973) do not support these findings since the nematode failed to penetrate and/or multiply inside roots of tested crops. Finally,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was found associated with rhizomes of the aquatic ornamental plant </w:t>
      </w:r>
      <w:r>
        <w:rPr>
          <w:rFonts w:ascii="Calibri" w:hAnsi="Calibri" w:eastAsia="Calibri" w:cs="Calibri"/>
          <w:i/>
          <w:iCs/>
          <w:color w:val="000000"/>
          <w:sz w:val="22"/>
          <w:szCs w:val="22"/>
        </w:rPr>
        <w:t xml:space="preserve">Cryptocoryne</w:t>
      </w:r>
      <w:r>
        <w:rPr>
          <w:rFonts w:ascii="Calibri" w:hAnsi="Calibri" w:eastAsia="Calibri" w:cs="Calibri"/>
          <w:color w:val="000000"/>
          <w:sz w:val="22"/>
          <w:szCs w:val="22"/>
        </w:rPr>
        <w:t xml:space="preserve"> spp. (Araceae) imported into Europe (EPPO, 1976), though no further information was documented afterwards.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Bolboschoenus maritimus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Cryptocoryne crispatula var. albida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Cryptocoryne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haspan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platystylis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pulcherrimus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sanguinolentus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glabrescens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grisebachii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Eleocharis spiralis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ferruginea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globulosa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quinquangularis subsp. quinquangularis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Marsilea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Marsilea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Rotala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 subulata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Schoenoplectiella supina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Sphenoclea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nana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Vallisneria spiralis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widely distributed in major rice growing areas of the world and commonly found in tropical and subtropical regions. According to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present in different regions and countries in Asia, the Asia-Pacific region, South America, Central America, Africa and the United States (Arkansas, Florida, Louisiana and Texas).</w:t>
      </w:r>
    </w:p>
    <w:p>
      <w:r>
        <w:drawing>
          <wp:inline distT="0" distB="0" distL="0" distR="0">
            <wp:extent cx="6120000" cy="3067200"/>
            <wp:docPr id="2058398" name="name18316aafdf377e86a" descr="HIRSO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RSOR_distribution_map.jpg"/>
                    <pic:cNvPicPr/>
                  </pic:nvPicPr>
                  <pic:blipFill>
                    <a:blip r:embed="rId18626aafdf377e86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Cote d'Ivoire, Egypt, Gambia, Ghana, Guinea, Kenya, Madagascar, Mali, Mauritania, Niger, Nigeria, Senegal, Sierra Leone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Fujian, Guangdong, Guangxi, Guizhou, Hainan, Hebei, Henan, Hubei, Hunan, Jiangsu, Jiangxi, Shaanxi, Shandong, Sichuan, Xianggang (Hong Kong), Yunnan, Zhejiang), India (Andhra Pradesh, Assam, Bihar, Chhattisgarh, Goa, Gujarat, Haryana, Himachal Pradesh, Jammu &amp; Kashmir, Karnataka, Kerala, Madhya Pradesh, Maharashtra, Mizoram, Odisha, Punjab, Rajasthan, Tamil Nadu, Tripura, Uttarakhand, Uttar Pradesh, West Bengal), Indonesia (Java, Kalimantan), Iran, Islamic Republic of, Japan (Honshu, Kyushu), Korea, Republic of, Malaysia (West), Myanmar, Nepal, Pakistan, Philippines,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Florida,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(Piaui), Ecuador, Guyana,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a migratory endoparasitic nematode. All life stages are infective except eggs. Nematodes enter the young roots through the epidermis at some distance from the tip, feeding intracellularly in parenchyma cells of the cortex and migrate within the root (Keoboonrueng, 1971; Babatola &amp; Bridge, 1980). Males are needed for reproduction, oviposition occurs some days after females have penetrated the roots (Fortuner &amp; Merny, 1979; Karakas, 2004). Juveniles hatch 4-6 days after egg deposition and the life cycle is completed in about a month under favourable conditions (28 ± 2°C and 87% - 90% relative humidity) (Siddiqi, 1973; Karakas, 2004). In Myanmar the multiplication factor in roots ranged 1.1 to 7.2 depending on the rice variety (Maung, 2011), while according to Siddiqui (1973) it can be as high as 13 per generation. However, there is no correlation between the initial population and the multiplication factor (Maung, 2011; Abd-Elbary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maximum root population occurs between the tillering and the heading stage of rice crops, decreases afterwards and is lowest at harvest (Fortuner &amp; Merny, 1979;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population pattern in soil is similar to that in the roots during the growing season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number of generations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per growing season varies in different areas, for example one generation is reported per growing season in India, two in Japan and three in Senegal (Fortuner &amp; Merny, 1979;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nematode can be found in different rice ecosystems but mainly in irrigated and lowland rice.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longer in roots than in soil, but under flooded conditions nematodes survival inside the root is shorter due to the faster decay of roots (Fortuner &amp; Merny, 1979;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weeds and rice stubble left in the field between crops (Mathur &amp; Prasad, 1973;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Soil temperature ranging from 21 to 28°C is optimal for multiplication. Maung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observed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fields with average soil temperatures between 20°C and 34°C. In the absence of a host,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in the soil for at least 5 months and, by means of a quiescence stage, nematodes can survive up to 12 months in soil that is not continually wet.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can survive a wide range of pHs and adapts better to clay soils than to sandy soils (Mathur &amp; Prasad, 1973; Fortuner &amp; Merny, 1979; Babatola, 1981;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pest survives under anaerobic conditions which are suitable for rice production (Babatola, 1981).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induced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are not specific, and are therefore not easily identifiable and usually unrecognizable in the field. In general, the infected rice seedlings show some chlorosis, retardation of growth, reduced and delayed tillering, and delayed flowering by 15-21 days (Keoboonrueng, 1971; Babatola &amp; Bridge, 1979; Babatola &amp; Bridge, 1980; Siddiqi, 1973; Goswami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Thirty to forty five days after transplanting of rice seedlings, infected rice roots may show yellowish to brown lesions that eventually darken. Heavily infected roots may decay after turning brown or black if the root system is heavily infected (Goswami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browning of roots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may be enhanced by soil micro-organisms (Lee &amp; Park,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characters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are mentioned in Siddiqi (1973). The nematode is long and slender, and there is no sexual dimorphism in the head region between females and males. The lip region is not hemispherical. The stylet is strong with round basal knobs. The tail terminus is pointed or round with a sharp mucron.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body is straight or slightly arcuate ventrally. The median oesophageal bulb is oval and well developed. Oesophageal glands are elongate and ventral overlapping the intestine. The secretory excretory (SE) pore is anterior to the pharyngeal-intestinal valve. The female genital system is prominent, vulva median with two functional and equally developed genital tracts. The spermatheca is oval or sometimes round, containing sperm. ‘Thorneian cells’ appear to be of hypodermal origin and serve to connect the intestinal epithelial cells with the hypodermis, sometimes showing up to 3 nerve-like branches. The intestine does not overlap the rectum. The tail is elongate-conoid, and in length measures 4.3-5.5 times the body width at the anus.</w:t>
      </w:r>
    </w:p>
    <w:p>
      <w:pPr>
        <w:widowControl w:val="on"/>
        <w:pBdr/>
        <w:spacing w:before="220" w:after="220" w:line="240" w:lineRule="auto"/>
        <w:ind w:left="0" w:right="0"/>
        <w:jc w:val="both"/>
      </w:pPr>
      <w:r>
        <w:rPr>
          <w:rFonts w:ascii="Calibri" w:hAnsi="Calibri" w:eastAsia="Calibri" w:cs="Calibri"/>
          <w:color w:val="000000"/>
          <w:sz w:val="22"/>
          <w:szCs w:val="22"/>
        </w:rPr>
        <w:t xml:space="preserve">Bursa is present in the males, arising near the head of spicule and ending near phasmids. The spicule is distinctly cephalated, slightly arcuate but not reaching the tail tip, the gubernaculum is simple and not-protruding.</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Measurements are provided in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7/94 (2)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(EPPO, 2022) provides information for the detection and identification of nematodes belonging to the genus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nematodes can be detected by extraction from soil and roots (EPPO, 2022). Extraction methods are given in EPPO Standard PM 7/119 (1) (EPPO, 2013). Both root and rhizosphere soil samples should be taken to detect the presence and to provide a more reliable estimate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numbers. Cutting roots into small pieces or macerating them in a blender before extraction can improve the detection efficacy.</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(EPPO, 2022) provides dichotomous keys to Pratylenchidae genera, as well as a key to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species (based on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Using morphological and morphometrical characters is the common technique to identify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to genus and species level (Ahmad &amp; Jairajpuri, 1976; Siddiqi, 2000, EPPO, 2022). However, because of the potential presence of closely-related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 the same fields (Babatola, 1984: Ichinohe, 1988), and sometimes intraspecific morphological and morphometric divergences within the same species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Mwamula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species level identification by morphology and morphometrics alone is complicated. Molecular tests for the identification of the genus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are not yet available (EPPO, 2022).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suggested using molecular tests to confirm species level identification. Few reports exist so far of molecular research on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to identify the nematode, to distinguish morphologically closely-related species, and to re-evaluate the characters of species that have been already reported (Katsuta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Khun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Indarti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Mwamula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DNA barcoding protocols for nematodes in EPPO Standard PM 7/129 (EPPO, 2021) have not been validated for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including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is normally spread by rice plants, especially seedlings from nurseries to the field and widely spread where there is long history of rice cultivation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Direct seeding of rice rather than transplanting, whenever possible, prevents the spread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from infested nurseries to the fields. Dispersal over longer distances is possible by irrigation water, plants for planting (including aquatic plants according to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relation to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soil associated with plants for planting, agricultural machinery, tools and field workers (Siddiqi, 1973). In international trade, infested plants for planting (except seeds) of rice and infested growing medium are the main pathway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Plants for planting of other hosts (including weeds), their underground plant parts and associated growing medium may also be a pathway for the nematode.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It is difficult to determine yield losses under field conditions as they depend upon several factors such as rice varieties, nematode population density in relation to crop growth stage, cultural practices and soil conditions (Ichinohe, 1988; Maung, 2011). In Japan, no clear data was obtained on the actual yield reduction caused by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(Ichinohe, 1988). Nevertheless, there have been reports of 24-56% yield reduction caused by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(MacGowan, 1979;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Different inoculation experiments showed varying degrees of yield losses, depending on rice varieties, inoculum density and soil fertility (Babatola &amp; Bridge, 1979; Fortuner &amp; Merny, 1979; MacGowan, 1979;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Maung, 2011;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fields that are not well fertilized, economic damage is expected when 800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are present in the roots of a single plant at the heading stage, which may correspond to as few as 40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a plant one week after transplanting (Khuong, 1987). In Egypt, Youssef &amp; Eissa (2014) reported that the presence of 1000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per 2 kg soil is a critical population density where damage was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recommended management practices for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include:</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such as soaking of the seeds, bare root dips before transplanting in nurseries, soil incorporation, application in standing water and ‘mud ball’ application in field.</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resistant or tolerant varieties when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Crop rotation with non-host dry season crops such as cowpea, groundnut, onion, pigeon pea, sorghum, soybean, sweet potato and tobacco (Babatola, 1979), mungbean, black gram and sesame (Maung, 2011), Egyptian clover (Youssef &amp; Eissa,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Including green manure crops in crop rotation as trap crops (e.g. </w:t>
      </w:r>
      <w:r>
        <w:rPr>
          <w:rFonts w:ascii="Calibri" w:hAnsi="Calibri" w:eastAsia="Calibri" w:cs="Calibri"/>
          <w:i/>
          <w:iCs/>
          <w:color w:val="000000"/>
          <w:sz w:val="22"/>
          <w:szCs w:val="22"/>
        </w:rPr>
        <w:t xml:space="preserve">Aeschynomene afraspera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can reduce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population in soil and add soil nitrogen as an additional benefit (Germani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Hendro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1992; Prot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Prolonged dry fallows (at least 12 months) after crop rotation can help decreasing soil population densities (Siddiqi, 1973; MacGowan, 1979). Weed management in rice fields during the growing season and in the absence of rice can reduce nematode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cultural measures include tillage and mechanical disturbance, thermal control such as soil solarization of nursery beds and burning of stubble in the field, and incorporation of organic manures (Fortuner &amp; Merny, 1979; Abd-Elbary et al., 2012; Youssef &amp; Eissa, 2014;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warmer regions of the European Union are expected to be suitable for establishment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Using a CLIMEX model to study the potential establishment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new areas Singh et al. (2022) projected that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establish in the Mediterranean area, although this area was less favourable for the pest than more tropical and subtropical regions.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could potentially have an economic impact on rice production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are especially relevant for plants for planting with roots of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and possibly for growing medium on its own or associated with plants for planting. Potential phytosanitary measures identified by Jeger et al. (2018) against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include pest free production site with inspection, testing and soil treatment. In addition, for similar organisms associated with plants for planting or growing medium, EPPO recommends options such as pest free area, pest free place of production, pest free production site, as well as cleaning of used machinery and vehicles.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Abd-Elbary NA, Eissa MFM &amp; Youssef MMA (2012) Reproduction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on some field crops and common weeds. </w:t>
      </w:r>
      <w:r>
        <w:rPr>
          <w:rFonts w:ascii="Calibri" w:hAnsi="Calibri" w:eastAsia="Calibri" w:cs="Calibri"/>
          <w:i/>
          <w:iCs/>
          <w:color w:val="000000"/>
          <w:sz w:val="22"/>
          <w:szCs w:val="22"/>
        </w:rPr>
        <w:t xml:space="preserve">Nematologia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w:t>
      </w:r>
      <w:r>
        <w:rPr>
          <w:rFonts w:ascii="Calibri" w:hAnsi="Calibri" w:eastAsia="Calibri" w:cs="Calibri"/>
          <w:i/>
          <w:iCs/>
          <w:color w:val="000000"/>
          <w:sz w:val="22"/>
          <w:szCs w:val="22"/>
        </w:rPr>
        <w:t xml:space="preserve">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83-86.</w:t>
      </w:r>
    </w:p>
    <w:p>
      <w:pPr>
        <w:widowControl w:val="on"/>
        <w:pBdr/>
        <w:spacing w:before="220" w:after="220" w:line="240" w:lineRule="auto"/>
        <w:ind w:left="0" w:right="0"/>
        <w:jc w:val="left"/>
      </w:pPr>
      <w:r>
        <w:rPr>
          <w:rFonts w:ascii="Calibri" w:hAnsi="Calibri" w:eastAsia="Calibri" w:cs="Calibri"/>
          <w:color w:val="000000"/>
          <w:sz w:val="22"/>
          <w:szCs w:val="22"/>
        </w:rPr>
        <w:t xml:space="preserve">Ahmad S &amp; Jairajpuri RM (1976) Morphological studies on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(Soltwedel) (Nematoda: Tylenchida). </w:t>
      </w:r>
      <w:r>
        <w:rPr>
          <w:rFonts w:ascii="Calibri" w:hAnsi="Calibri" w:eastAsia="Calibri" w:cs="Calibri"/>
          <w:i/>
          <w:iCs/>
          <w:color w:val="000000"/>
          <w:sz w:val="22"/>
          <w:szCs w:val="22"/>
        </w:rPr>
        <w:t xml:space="preserve">Records of the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203-228</w:t>
      </w:r>
    </w:p>
    <w:p>
      <w:pPr>
        <w:widowControl w:val="on"/>
        <w:pBdr/>
        <w:spacing w:before="220" w:after="220" w:line="240" w:lineRule="auto"/>
        <w:ind w:left="0" w:right="0"/>
        <w:jc w:val="left"/>
      </w:pPr>
      <w:r>
        <w:rPr>
          <w:rFonts w:ascii="Calibri" w:hAnsi="Calibri" w:eastAsia="Calibri" w:cs="Calibri"/>
          <w:color w:val="000000"/>
          <w:sz w:val="22"/>
          <w:szCs w:val="22"/>
        </w:rPr>
        <w:t xml:space="preserve">Alma NR, Indarti S, Hartono S &amp; Soffan A (2023) Evaluation of nematode DNA extraction methods for species identification of root rice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Anwar SA, McKenry MV &amp; Yasin SI (2011) Rice-root nematode, </w:t>
      </w:r>
      <w:r>
        <w:rPr>
          <w:rFonts w:ascii="Calibri" w:hAnsi="Calibri" w:eastAsia="Calibri" w:cs="Calibri"/>
          <w:i/>
          <w:iCs/>
          <w:color w:val="000000"/>
          <w:sz w:val="22"/>
          <w:szCs w:val="22"/>
        </w:rPr>
        <w:t xml:space="preserve">Hirschmaniella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infecting rice selections and weed genotypes. </w:t>
      </w:r>
      <w:r>
        <w:rPr>
          <w:rFonts w:ascii="Calibri" w:hAnsi="Calibri" w:eastAsia="Calibri" w:cs="Calibri"/>
          <w:i/>
          <w:iCs/>
          <w:color w:val="000000"/>
          <w:sz w:val="22"/>
          <w:szCs w:val="22"/>
        </w:rPr>
        <w:t xml:space="preserve">Pakistan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373-378.</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(1979) Varietal reaction of rice and other food crops to the rice-root nematodes,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imamuri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(1981) Effect of pH, oxygen and temperature on the activity and survival of </w:t>
      </w:r>
      <w:r>
        <w:rPr>
          <w:rFonts w:ascii="Calibri" w:hAnsi="Calibri" w:eastAsia="Calibri" w:cs="Calibri"/>
          <w:i/>
          <w:iCs/>
          <w:color w:val="000000"/>
          <w:sz w:val="22"/>
          <w:szCs w:val="22"/>
        </w:rPr>
        <w:t xml:space="preserve">Hirschmanniella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285-291.</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(1984) Rice nematode problems in Nigeria; their occurrence, distribution and pathogenesis.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256–265.</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&amp; Bridge J (1979) Pathogenicity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imamuri</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128-132.</w:t>
      </w:r>
    </w:p>
    <w:p>
      <w:pPr>
        <w:widowControl w:val="on"/>
        <w:pBdr/>
        <w:spacing w:before="220" w:after="220" w:line="240" w:lineRule="auto"/>
        <w:ind w:left="0" w:right="0"/>
        <w:jc w:val="left"/>
      </w:pPr>
      <w:r>
        <w:rPr>
          <w:rFonts w:ascii="Calibri" w:hAnsi="Calibri" w:eastAsia="Calibri" w:cs="Calibri"/>
          <w:color w:val="000000"/>
          <w:sz w:val="22"/>
          <w:szCs w:val="22"/>
        </w:rPr>
        <w:t xml:space="preserve">Babatola JO &amp; Bridge J (1980) Feeding behavior and histopathology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spinicaudata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imamuri</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48-53.</w:t>
      </w:r>
    </w:p>
    <w:p>
      <w:pPr>
        <w:widowControl w:val="on"/>
        <w:pBdr/>
        <w:spacing w:before="220" w:after="220" w:line="240" w:lineRule="auto"/>
        <w:ind w:left="0" w:right="0"/>
        <w:jc w:val="left"/>
      </w:pPr>
      <w:r>
        <w:rPr>
          <w:rFonts w:ascii="Calibri" w:hAnsi="Calibri" w:eastAsia="Calibri" w:cs="Calibri"/>
          <w:color w:val="000000"/>
          <w:sz w:val="22"/>
          <w:szCs w:val="22"/>
        </w:rPr>
        <w:t xml:space="preserve">Cuc NTT &amp; Prot J-C (1992) Root-Parasitic Nematodes of Deep-Water Rice in the Mekong Delta of Vietnam.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(6), 575-577.</w:t>
      </w:r>
    </w:p>
    <w:p>
      <w:pPr>
        <w:widowControl w:val="on"/>
        <w:pBdr/>
        <w:spacing w:before="220" w:after="220" w:line="240" w:lineRule="auto"/>
        <w:ind w:left="0" w:right="0"/>
        <w:jc w:val="left"/>
      </w:pPr>
      <w:r>
        <w:rPr>
          <w:rFonts w:ascii="Calibri" w:hAnsi="Calibri" w:eastAsia="Calibri" w:cs="Calibri"/>
          <w:color w:val="000000"/>
          <w:sz w:val="22"/>
          <w:szCs w:val="22"/>
        </w:rPr>
        <w:t xml:space="preserve">Eissa MFM, Abd-Elbary NA &amp; Youssef MMA (2013) Efficiency of different methods of extracting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and wheat soil and root samples.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64-69.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(1976) Report on new host of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and new localities of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no. 01</w:t>
      </w:r>
      <w:r>
        <w:rPr>
          <w:rFonts w:ascii="Calibri" w:hAnsi="Calibri" w:eastAsia="Calibri" w:cs="Calibri"/>
          <w:color w:val="000000"/>
          <w:sz w:val="22"/>
          <w:szCs w:val="22"/>
        </w:rPr>
        <w:t xml:space="preserve"> – 1976. Available at gd.eppo.int.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PM 7/119 (1) Diagnostics.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PM 7/129 (2) Diagnostics. DNA barcoding as an identification tool for a number of regulated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100-143.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PM 7/94 (2) Diagnostics.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314-325.</w:t>
      </w:r>
    </w:p>
    <w:p>
      <w:pPr>
        <w:widowControl w:val="on"/>
        <w:pBdr/>
        <w:spacing w:before="220" w:after="220" w:line="240" w:lineRule="auto"/>
        <w:ind w:left="0" w:right="0"/>
        <w:jc w:val="left"/>
      </w:pPr>
      <w:r>
        <w:rPr>
          <w:rFonts w:ascii="Calibri" w:hAnsi="Calibri" w:eastAsia="Calibri" w:cs="Calibri"/>
          <w:color w:val="000000"/>
          <w:sz w:val="22"/>
          <w:szCs w:val="22"/>
        </w:rPr>
        <w:t xml:space="preserve">Fortuner R &amp; Merny G (1979) Root parasitic nematodes of rice.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79-102.</w:t>
      </w:r>
    </w:p>
    <w:p>
      <w:pPr>
        <w:widowControl w:val="on"/>
        <w:pBdr/>
        <w:spacing w:before="220" w:after="220" w:line="240" w:lineRule="auto"/>
        <w:ind w:left="0" w:right="0"/>
        <w:jc w:val="left"/>
      </w:pPr>
      <w:r>
        <w:rPr>
          <w:rFonts w:ascii="Calibri" w:hAnsi="Calibri" w:eastAsia="Calibri" w:cs="Calibri"/>
          <w:color w:val="000000"/>
          <w:sz w:val="22"/>
          <w:szCs w:val="22"/>
        </w:rPr>
        <w:t xml:space="preserve">Germani G, Reversat G &amp; Luc M (1983) Effect of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flooded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269-271.</w:t>
      </w:r>
    </w:p>
    <w:p>
      <w:pPr>
        <w:widowControl w:val="on"/>
        <w:pBdr/>
        <w:spacing w:before="220" w:after="220" w:line="240" w:lineRule="auto"/>
        <w:ind w:left="0" w:right="0"/>
        <w:jc w:val="left"/>
      </w:pPr>
      <w:r>
        <w:rPr>
          <w:rFonts w:ascii="Calibri" w:hAnsi="Calibri" w:eastAsia="Calibri" w:cs="Calibri"/>
          <w:color w:val="000000"/>
          <w:sz w:val="22"/>
          <w:szCs w:val="22"/>
        </w:rPr>
        <w:t xml:space="preserve">Goswami BK, Singh A, Singh N &amp; Singh S (2015) Infestation of an endoparasitic migratory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 serious threat to the paddy growers of western U.P. -A first report. </w:t>
      </w:r>
      <w:r>
        <w:rPr>
          <w:rFonts w:ascii="Calibri" w:hAnsi="Calibri" w:eastAsia="Calibri" w:cs="Calibri"/>
          <w:i/>
          <w:iCs/>
          <w:color w:val="000000"/>
          <w:sz w:val="22"/>
          <w:szCs w:val="22"/>
        </w:rPr>
        <w:t xml:space="preserve">Plant Archives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1195-1196.</w:t>
      </w:r>
    </w:p>
    <w:p>
      <w:pPr>
        <w:widowControl w:val="on"/>
        <w:pBdr/>
        <w:spacing w:before="220" w:after="220" w:line="240" w:lineRule="auto"/>
        <w:ind w:left="0" w:right="0"/>
        <w:jc w:val="left"/>
      </w:pPr>
      <w:r>
        <w:rPr>
          <w:rFonts w:ascii="Calibri" w:hAnsi="Calibri" w:eastAsia="Calibri" w:cs="Calibri"/>
          <w:color w:val="000000"/>
          <w:sz w:val="22"/>
          <w:szCs w:val="22"/>
        </w:rPr>
        <w:t xml:space="preserve">Hendro SME, Prot JC &amp; Madamba CP (1992) Population dynamics of </w:t>
      </w:r>
      <w:r>
        <w:rPr>
          <w:rFonts w:ascii="Calibri" w:hAnsi="Calibri" w:eastAsia="Calibri" w:cs="Calibri"/>
          <w:i/>
          <w:iCs/>
          <w:color w:val="000000"/>
          <w:sz w:val="22"/>
          <w:szCs w:val="22"/>
        </w:rPr>
        <w:t xml:space="preserve">Hirschmanniella mucronata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Sesbania 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Aeschynomene afraspera</w:t>
      </w:r>
      <w:r>
        <w:rPr>
          <w:rFonts w:ascii="Calibri" w:hAnsi="Calibri" w:eastAsia="Calibri" w:cs="Calibri"/>
          <w:color w:val="000000"/>
          <w:sz w:val="22"/>
          <w:szCs w:val="22"/>
        </w:rPr>
        <w:t xml:space="preserve"> and rice cv. IR 58.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167-172.</w:t>
      </w:r>
    </w:p>
    <w:p>
      <w:pPr>
        <w:widowControl w:val="on"/>
        <w:pBdr/>
        <w:spacing w:before="220" w:after="220" w:line="240" w:lineRule="auto"/>
        <w:ind w:left="0" w:right="0"/>
        <w:jc w:val="left"/>
      </w:pPr>
      <w:r>
        <w:rPr>
          <w:rFonts w:ascii="Calibri" w:hAnsi="Calibri" w:eastAsia="Calibri" w:cs="Calibri"/>
          <w:color w:val="000000"/>
          <w:sz w:val="22"/>
          <w:szCs w:val="22"/>
        </w:rPr>
        <w:t xml:space="preserve">Ibrahim IKA, Mokbel AA &amp; Handoo ZA (2010) Current status of phytoparasitic nematodes and their host plants in Egypt.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40, </w:t>
      </w:r>
      <w:r>
        <w:rPr>
          <w:rFonts w:ascii="Calibri" w:hAnsi="Calibri" w:eastAsia="Calibri" w:cs="Calibri"/>
          <w:color w:val="000000"/>
          <w:sz w:val="22"/>
          <w:szCs w:val="22"/>
        </w:rPr>
        <w:t xml:space="preserve">239-262.</w:t>
      </w:r>
    </w:p>
    <w:p>
      <w:pPr>
        <w:widowControl w:val="on"/>
        <w:pBdr/>
        <w:spacing w:before="220" w:after="220" w:line="240" w:lineRule="auto"/>
        <w:ind w:left="0" w:right="0"/>
        <w:jc w:val="left"/>
      </w:pPr>
      <w:r>
        <w:rPr>
          <w:rFonts w:ascii="Calibri" w:hAnsi="Calibri" w:eastAsia="Calibri" w:cs="Calibri"/>
          <w:color w:val="000000"/>
          <w:sz w:val="22"/>
          <w:szCs w:val="22"/>
        </w:rPr>
        <w:t xml:space="preserve">Ichinohe M (1988) Research on the major nematode problems in Japan.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184-190.</w:t>
      </w:r>
    </w:p>
    <w:p>
      <w:pPr>
        <w:widowControl w:val="on"/>
        <w:pBdr/>
        <w:spacing w:before="220" w:after="220" w:line="240" w:lineRule="auto"/>
        <w:ind w:left="0" w:right="0"/>
        <w:jc w:val="left"/>
      </w:pPr>
      <w:r>
        <w:rPr>
          <w:rFonts w:ascii="Calibri" w:hAnsi="Calibri" w:eastAsia="Calibri" w:cs="Calibri"/>
          <w:color w:val="000000"/>
          <w:sz w:val="22"/>
          <w:szCs w:val="22"/>
        </w:rPr>
        <w:t xml:space="preserve">Indarti S, Soffan A &amp; Andrasmara MMF (2020) First record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mucronata</w:t>
      </w:r>
      <w:r>
        <w:rPr>
          <w:rFonts w:ascii="Calibri" w:hAnsi="Calibri" w:eastAsia="Calibri" w:cs="Calibri"/>
          <w:color w:val="000000"/>
          <w:sz w:val="22"/>
          <w:szCs w:val="22"/>
        </w:rPr>
        <w:t xml:space="preserve"> (Nematoda: Pratylenchidae) in Yogyakarta, Indonesia. </w:t>
      </w:r>
      <w:r>
        <w:rPr>
          <w:rFonts w:ascii="Calibri" w:hAnsi="Calibri" w:eastAsia="Calibri" w:cs="Calibri"/>
          <w:i/>
          <w:iCs/>
          <w:color w:val="000000"/>
          <w:sz w:val="22"/>
          <w:szCs w:val="22"/>
        </w:rPr>
        <w:t xml:space="preserve">Biodiversitas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2068-2073.</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Anton J, Miret J, MacLeod A,Navajas Navarro M, Parnell S, Potting R, Rafoss T, Rossi V, Urek G, Van Bruggen A, Van der Werf W, West J, Winter S, Kaluski T &amp; Niere B (2018)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Scientific Opinion on the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e05297, 31 pp.</w:t>
      </w:r>
    </w:p>
    <w:p>
      <w:pPr>
        <w:widowControl w:val="on"/>
        <w:pBdr/>
        <w:spacing w:before="220" w:after="220" w:line="240" w:lineRule="auto"/>
        <w:ind w:left="0" w:right="0"/>
        <w:jc w:val="left"/>
      </w:pPr>
      <w:r>
        <w:rPr>
          <w:rFonts w:ascii="Calibri" w:hAnsi="Calibri" w:eastAsia="Calibri" w:cs="Calibri"/>
          <w:color w:val="000000"/>
          <w:sz w:val="22"/>
          <w:szCs w:val="22"/>
        </w:rPr>
        <w:t xml:space="preserve">Karakas M (2004) Life cycle and mating behavior of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(Nematoda: Pratylenchidae) on excised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roots. </w:t>
      </w:r>
      <w:r>
        <w:rPr>
          <w:rFonts w:ascii="Calibri" w:hAnsi="Calibri" w:eastAsia="Calibri" w:cs="Calibri"/>
          <w:i/>
          <w:iCs/>
          <w:color w:val="000000"/>
          <w:sz w:val="22"/>
          <w:szCs w:val="22"/>
        </w:rPr>
        <w:t xml:space="preserve">Fen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Bilimleri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Dergisi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Katsuta A, Toyota K, Min YY &amp; Maung TT (2016) Development of real-time PCR primers for the quantification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g</w:t>
      </w:r>
      <w:r>
        <w:rPr>
          <w:rFonts w:ascii="Calibri" w:hAnsi="Calibri" w:eastAsia="Calibri" w:cs="Calibri"/>
          <w:i/>
          <w:iCs/>
          <w:color w:val="000000"/>
          <w:sz w:val="22"/>
          <w:szCs w:val="22"/>
        </w:rPr>
        <w:t xml:space="preserve">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Heterodera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cajani</w:t>
      </w:r>
      <w:r>
        <w:rPr>
          <w:rFonts w:ascii="Calibri" w:hAnsi="Calibri" w:eastAsia="Calibri" w:cs="Calibri"/>
          <w:color w:val="000000"/>
          <w:sz w:val="22"/>
          <w:szCs w:val="22"/>
        </w:rPr>
        <w:t xml:space="preserve">, pests of the major crops in Myanmar.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257–263.</w:t>
      </w:r>
    </w:p>
    <w:p>
      <w:pPr>
        <w:widowControl w:val="on"/>
        <w:pBdr/>
        <w:spacing w:before="220" w:after="220" w:line="240" w:lineRule="auto"/>
        <w:ind w:left="0" w:right="0"/>
        <w:jc w:val="left"/>
      </w:pPr>
      <w:r>
        <w:rPr>
          <w:rFonts w:ascii="Calibri" w:hAnsi="Calibri" w:eastAsia="Calibri" w:cs="Calibri"/>
          <w:color w:val="000000"/>
          <w:sz w:val="22"/>
          <w:szCs w:val="22"/>
        </w:rPr>
        <w:t xml:space="preserve">Keoboonrueng S (1971) Effects of rice-root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o</w:t>
      </w:r>
      <w:r>
        <w:rPr>
          <w:rFonts w:ascii="Calibri" w:hAnsi="Calibri" w:eastAsia="Calibri" w:cs="Calibri"/>
          <w:i/>
          <w:iCs/>
          <w:color w:val="000000"/>
          <w:sz w:val="22"/>
          <w:szCs w:val="22"/>
        </w:rPr>
        <w:t xml:space="preserve">ryzae</w:t>
      </w:r>
      <w:r>
        <w:rPr>
          <w:rFonts w:ascii="Calibri" w:hAnsi="Calibri" w:eastAsia="Calibri" w:cs="Calibri"/>
          <w:color w:val="000000"/>
          <w:sz w:val="22"/>
          <w:szCs w:val="22"/>
        </w:rPr>
        <w:t xml:space="preserve"> (Van Breda De Haan 1902) Luc and Goodey 1963) on rice seedlings. </w:t>
      </w:r>
      <w:r>
        <w:rPr>
          <w:rFonts w:ascii="Calibri" w:hAnsi="Calibri" w:eastAsia="Calibri" w:cs="Calibri"/>
          <w:i/>
          <w:iCs/>
          <w:color w:val="000000"/>
          <w:sz w:val="22"/>
          <w:szCs w:val="22"/>
        </w:rPr>
        <w:t xml:space="preserve">LSU Historical Dissertations and Theses</w:t>
      </w:r>
      <w:r>
        <w:rPr>
          <w:rFonts w:ascii="Calibri" w:hAnsi="Calibri" w:eastAsia="Calibri" w:cs="Calibri"/>
          <w:color w:val="000000"/>
          <w:sz w:val="22"/>
          <w:szCs w:val="22"/>
        </w:rPr>
        <w:t xml:space="preserve"> 2066.</w:t>
      </w:r>
    </w:p>
    <w:p>
      <w:pPr>
        <w:widowControl w:val="on"/>
        <w:pBdr/>
        <w:spacing w:before="220" w:after="220" w:line="240" w:lineRule="auto"/>
        <w:ind w:left="0" w:right="0"/>
        <w:jc w:val="left"/>
      </w:pPr>
      <w:r>
        <w:rPr>
          <w:rFonts w:ascii="Calibri" w:hAnsi="Calibri" w:eastAsia="Calibri" w:cs="Calibri"/>
          <w:color w:val="000000"/>
          <w:sz w:val="22"/>
          <w:szCs w:val="22"/>
        </w:rPr>
        <w:t xml:space="preserve">Khun K, Decraemer W, Couvreur M, Karssen G, Steel H &amp; Bert W (2015) Deceptive morphological variation in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mucronata </w:t>
      </w:r>
      <w:r>
        <w:rPr>
          <w:rFonts w:ascii="Calibri" w:hAnsi="Calibri" w:eastAsia="Calibri" w:cs="Calibri"/>
          <w:color w:val="000000"/>
          <w:sz w:val="22"/>
          <w:szCs w:val="22"/>
        </w:rPr>
        <w:t xml:space="preserve">(Nematoda: Pratylenchidae) and a polytomous key to the genus.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377–400.</w:t>
      </w:r>
    </w:p>
    <w:p>
      <w:pPr>
        <w:widowControl w:val="on"/>
        <w:pBdr/>
        <w:spacing w:before="220" w:after="220" w:line="240" w:lineRule="auto"/>
        <w:ind w:left="0" w:right="0"/>
        <w:jc w:val="left"/>
      </w:pPr>
      <w:r>
        <w:rPr>
          <w:rFonts w:ascii="Calibri" w:hAnsi="Calibri" w:eastAsia="Calibri" w:cs="Calibri"/>
          <w:color w:val="000000"/>
          <w:sz w:val="22"/>
          <w:szCs w:val="22"/>
        </w:rPr>
        <w:t xml:space="preserve">Khuong NB (1987)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in rice fields of Vietnam.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82-84.</w:t>
      </w:r>
    </w:p>
    <w:p>
      <w:pPr>
        <w:widowControl w:val="on"/>
        <w:pBdr/>
        <w:spacing w:before="220" w:after="220" w:line="240" w:lineRule="auto"/>
        <w:ind w:left="0" w:right="0"/>
        <w:jc w:val="left"/>
      </w:pPr>
      <w:r>
        <w:rPr>
          <w:rFonts w:ascii="Calibri" w:hAnsi="Calibri" w:eastAsia="Calibri" w:cs="Calibri"/>
          <w:color w:val="000000"/>
          <w:sz w:val="22"/>
          <w:szCs w:val="22"/>
        </w:rPr>
        <w:t xml:space="preserve">Korayem AM, Youssef MMA, Mohamed MMM, Elkelany US &amp; Hammam MMA (2019) Plant parasitic nematodes associated with wheat in Northern and Middle Egypt. </w:t>
      </w:r>
      <w:r>
        <w:rPr>
          <w:rFonts w:ascii="Calibri" w:hAnsi="Calibri" w:eastAsia="Calibri" w:cs="Calibri"/>
          <w:i/>
          <w:iCs/>
          <w:color w:val="000000"/>
          <w:sz w:val="22"/>
          <w:szCs w:val="22"/>
        </w:rPr>
        <w:t xml:space="preserve">Egyptian Journal of Agronematology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48-59.</w:t>
      </w:r>
    </w:p>
    <w:p>
      <w:pPr>
        <w:widowControl w:val="on"/>
        <w:pBdr/>
        <w:spacing w:before="220" w:after="220" w:line="240" w:lineRule="auto"/>
        <w:ind w:left="0" w:right="0"/>
        <w:jc w:val="left"/>
      </w:pPr>
      <w:r>
        <w:rPr>
          <w:rFonts w:ascii="Calibri" w:hAnsi="Calibri" w:eastAsia="Calibri" w:cs="Calibri"/>
          <w:color w:val="000000"/>
          <w:sz w:val="22"/>
          <w:szCs w:val="22"/>
        </w:rPr>
        <w:t xml:space="preserve">Lee YB &amp; Park JS (1975) Influence of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root browning of rice. </w:t>
      </w:r>
      <w:r>
        <w:rPr>
          <w:rFonts w:ascii="Calibri" w:hAnsi="Calibri" w:eastAsia="Calibri" w:cs="Calibri"/>
          <w:i/>
          <w:iCs/>
          <w:color w:val="000000"/>
          <w:sz w:val="22"/>
          <w:szCs w:val="22"/>
        </w:rPr>
        <w:t xml:space="preserve">Journal of Plant Protection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MacGowan JB (1979)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Florida Department of Agriculture and Consumer Services. </w:t>
      </w:r>
      <w:r>
        <w:rPr>
          <w:rFonts w:ascii="Calibri" w:hAnsi="Calibri" w:eastAsia="Calibri" w:cs="Calibri"/>
          <w:i/>
          <w:iCs/>
          <w:color w:val="000000"/>
          <w:sz w:val="22"/>
          <w:szCs w:val="22"/>
        </w:rPr>
        <w:t xml:space="preserve">Nematology Circular Number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Mathur VK &amp; Prasad SK (1973) Survival and host range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3, 88-93.</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Kyi PP, Myint YY, Lwin T &amp; de Waele D (2010) Occurrence of the rice root nematode </w:t>
      </w:r>
      <w:r>
        <w:rPr>
          <w:rFonts w:ascii="Calibri" w:hAnsi="Calibri" w:eastAsia="Calibri" w:cs="Calibri"/>
          <w:i/>
          <w:iCs/>
          <w:color w:val="000000"/>
          <w:sz w:val="22"/>
          <w:szCs w:val="22"/>
        </w:rPr>
        <w:t xml:space="preserve">Hirschmanniella oryzae </w:t>
      </w:r>
      <w:r>
        <w:rPr>
          <w:rFonts w:ascii="Calibri" w:hAnsi="Calibri" w:eastAsia="Calibri" w:cs="Calibri"/>
          <w:color w:val="000000"/>
          <w:sz w:val="22"/>
          <w:szCs w:val="22"/>
        </w:rPr>
        <w:t xml:space="preserve">on monsoon rice in Myanmar.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003-010.</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(2011) Occurrence, damage potential and sustainable management of the rice root nematode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on monsoon rice in Myanmar. </w:t>
      </w:r>
      <w:r>
        <w:rPr>
          <w:rFonts w:ascii="Calibri" w:hAnsi="Calibri" w:eastAsia="Calibri" w:cs="Calibri"/>
          <w:i/>
          <w:iCs/>
          <w:color w:val="000000"/>
          <w:sz w:val="22"/>
          <w:szCs w:val="22"/>
        </w:rPr>
        <w:t xml:space="preserve">Doctoraatsproefschrift nr. 974 aan de faculteit Bio-ingenieurswetenschappen van de K.U.Leuven</w:t>
      </w:r>
      <w:r>
        <w:rPr>
          <w:rFonts w:ascii="Calibri" w:hAnsi="Calibri" w:eastAsia="Calibri" w:cs="Calibri"/>
          <w:color w:val="000000"/>
          <w:sz w:val="22"/>
          <w:szCs w:val="22"/>
        </w:rPr>
        <w:t xml:space="preserve">, Leuven (BE).</w:t>
      </w:r>
    </w:p>
    <w:p>
      <w:pPr>
        <w:widowControl w:val="on"/>
        <w:pBdr/>
        <w:spacing w:before="220" w:after="220" w:line="240" w:lineRule="auto"/>
        <w:ind w:left="0" w:right="0"/>
        <w:jc w:val="left"/>
      </w:pPr>
      <w:r>
        <w:rPr>
          <w:rFonts w:ascii="Calibri" w:hAnsi="Calibri" w:eastAsia="Calibri" w:cs="Calibri"/>
          <w:color w:val="000000"/>
          <w:sz w:val="22"/>
          <w:szCs w:val="22"/>
        </w:rPr>
        <w:t xml:space="preserve">Maung ZTZ, Win PP, Kyi PP, Myint YY &amp; de Waele D (2013) Population dynamics of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monsoon rice in Myanmar.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348-356.</w:t>
      </w:r>
    </w:p>
    <w:p>
      <w:pPr>
        <w:widowControl w:val="on"/>
        <w:pBdr/>
        <w:spacing w:before="220" w:after="220" w:line="240" w:lineRule="auto"/>
        <w:ind w:left="0" w:right="0"/>
        <w:jc w:val="left"/>
      </w:pPr>
      <w:r>
        <w:rPr>
          <w:rFonts w:ascii="Calibri" w:hAnsi="Calibri" w:eastAsia="Calibri" w:cs="Calibri"/>
          <w:color w:val="000000"/>
          <w:sz w:val="22"/>
          <w:szCs w:val="22"/>
        </w:rPr>
        <w:t xml:space="preserve">Mwamula AO, Lim TH, Kim Y, Lee H, Kim YH &amp; Lee DW (2022) Morphological plasticity in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(van Breda de Haan, 1902) Luc &amp; Goodey, 1964 from Korea, with inferences from its ribosomal and mitochondrial DNA.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337–352.</w:t>
      </w:r>
    </w:p>
    <w:p>
      <w:pPr>
        <w:widowControl w:val="on"/>
        <w:pBdr/>
        <w:spacing w:before="220" w:after="220" w:line="240" w:lineRule="auto"/>
        <w:ind w:left="0" w:right="0"/>
        <w:jc w:val="left"/>
      </w:pPr>
      <w:r>
        <w:rPr>
          <w:rFonts w:ascii="Calibri" w:hAnsi="Calibri" w:eastAsia="Calibri" w:cs="Calibri"/>
          <w:color w:val="000000"/>
          <w:sz w:val="22"/>
          <w:szCs w:val="22"/>
        </w:rPr>
        <w:t xml:space="preserve">Peng D, Gaur HS &amp; Bridge J (2018) Nematode parasites of rice. In </w:t>
      </w:r>
      <w:r>
        <w:rPr>
          <w:rFonts w:ascii="Calibri" w:hAnsi="Calibri" w:eastAsia="Calibri" w:cs="Calibri"/>
          <w:i/>
          <w:iCs/>
          <w:color w:val="000000"/>
          <w:sz w:val="22"/>
          <w:szCs w:val="22"/>
        </w:rPr>
        <w:t xml:space="preserve">Plant parasitic nematodes in subtropical and tropical agriculture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Ed</w:t>
      </w:r>
      <w:r>
        <w:rPr>
          <w:rFonts w:ascii="Calibri" w:hAnsi="Calibri" w:eastAsia="Calibri" w:cs="Calibri"/>
          <w:color w:val="000000"/>
          <w:sz w:val="22"/>
          <w:szCs w:val="22"/>
        </w:rPr>
        <w:t xml:space="preserve">. (eds Sikora RA, Coyne D, Hallmann J &amp; Timper P), pp. 120-162. Wallingford UK. CAB International.</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Panwar MS &amp; Rao YS (1987) Nematode problems of rice in India.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Prot JC, Soriano IRS, Matias DM &amp; Savary S (1992) Use of green manure crops in control of </w:t>
      </w:r>
      <w:r>
        <w:rPr>
          <w:rFonts w:ascii="Calibri" w:hAnsi="Calibri" w:eastAsia="Calibri" w:cs="Calibri"/>
          <w:i/>
          <w:iCs/>
          <w:color w:val="000000"/>
          <w:sz w:val="22"/>
          <w:szCs w:val="22"/>
        </w:rPr>
        <w:t xml:space="preserve">Hirschmanniella mucronata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oryzae</w:t>
      </w:r>
      <w:r>
        <w:rPr>
          <w:rFonts w:ascii="Calibri" w:hAnsi="Calibri" w:eastAsia="Calibri" w:cs="Calibri"/>
          <w:color w:val="000000"/>
          <w:sz w:val="22"/>
          <w:szCs w:val="22"/>
        </w:rPr>
        <w:t xml:space="preserve"> in irrigated rice.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127-132.</w:t>
      </w:r>
    </w:p>
    <w:p>
      <w:pPr>
        <w:widowControl w:val="on"/>
        <w:pBdr/>
        <w:spacing w:before="220" w:after="220" w:line="240" w:lineRule="auto"/>
        <w:ind w:left="0" w:right="0"/>
        <w:jc w:val="left"/>
      </w:pPr>
      <w:r>
        <w:rPr>
          <w:rFonts w:ascii="Calibri" w:hAnsi="Calibri" w:eastAsia="Calibri" w:cs="Calibri"/>
          <w:color w:val="000000"/>
          <w:sz w:val="22"/>
          <w:szCs w:val="22"/>
        </w:rPr>
        <w:t xml:space="preserve">Siddiqi MR (1973)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Descriptions of plant-­parasitic nematodes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CIP, St. Albans, UK.</w:t>
      </w:r>
    </w:p>
    <w:p>
      <w:pPr>
        <w:widowControl w:val="on"/>
        <w:pBdr/>
        <w:spacing w:before="220" w:after="220" w:line="240" w:lineRule="auto"/>
        <w:ind w:left="0" w:right="0"/>
        <w:jc w:val="left"/>
      </w:pPr>
      <w:r>
        <w:rPr>
          <w:rFonts w:ascii="Calibri" w:hAnsi="Calibri" w:eastAsia="Calibri" w:cs="Calibri"/>
          <w:color w:val="000000"/>
          <w:sz w:val="22"/>
          <w:szCs w:val="22"/>
        </w:rPr>
        <w:t xml:space="preserve">Siddiqi MR (2000) Tylenchida: Parasites of Plants and Insects,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CABI Publishing UK,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Singh SK, Kriticos DJ, Ota N &amp; Hodda M (2022) Potential distribution and biosecurity risks from three economically important plant-parasitic nematodes.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371-382.</w:t>
      </w:r>
    </w:p>
    <w:p>
      <w:pPr>
        <w:widowControl w:val="on"/>
        <w:pBdr/>
        <w:spacing w:before="220" w:after="220" w:line="240" w:lineRule="auto"/>
        <w:ind w:left="0" w:right="0"/>
        <w:jc w:val="left"/>
      </w:pPr>
      <w:r>
        <w:rPr>
          <w:rFonts w:ascii="Calibri" w:hAnsi="Calibri" w:eastAsia="Calibri" w:cs="Calibri"/>
          <w:color w:val="000000"/>
          <w:sz w:val="22"/>
          <w:szCs w:val="22"/>
        </w:rPr>
        <w:t xml:space="preserve">Youssef MMA &amp; Eissa MFM (2014) The rice root nematode,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its identification, economic importance and control measures in Egypt: a review.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2340-2351.</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(rice root nematode). </w:t>
      </w:r>
      <w:r>
        <w:rPr>
          <w:rFonts w:ascii="Calibri" w:hAnsi="Calibri" w:eastAsia="Calibri" w:cs="Calibri"/>
          <w:i/>
          <w:iCs/>
          <w:color w:val="000000"/>
          <w:sz w:val="22"/>
          <w:szCs w:val="22"/>
        </w:rPr>
        <w:t xml:space="preserve">CABI Compendium</w:t>
      </w:r>
      <w:r>
        <w:rPr>
          <w:rFonts w:ascii="Calibri" w:hAnsi="Calibri" w:eastAsia="Calibri" w:cs="Calibri"/>
          <w:color w:val="000000"/>
          <w:sz w:val="22"/>
          <w:szCs w:val="22"/>
        </w:rPr>
        <w:t xml:space="preserve">. </w:t>
      </w:r>
      <w:hyperlink r:id="rId33616aafdf378118d" w:history="1">
        <w:r>
          <w:rPr>
            <w:rFonts w:ascii="Calibri" w:hAnsi="Calibri" w:eastAsia="Calibri" w:cs="Calibri"/>
            <w:color w:val="0000CC"/>
            <w:sz w:val="22"/>
            <w:szCs w:val="22"/>
            <w:u w:val="single"/>
          </w:rPr>
          <w:t xml:space="preserve">https://doi.org/10.1079/pwkb.species.27867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Jeger M, Bragard C, Caffier D, Candresse T, Chatzivassiliou E, Dehnen-Schmutz K, Gilioli G, Gregoire J-C, Anton J, Miret J, MacLeod A, Navajas Navarro M, Parnell S, Potting R, Rafoss T, Rossi V, Urek G, Van Bruggen A, Van der Werf W, West J, Winter S, Kaluski T &amp; Niere B (2018)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Scientific Opinion on the pest categorisation of </w:t>
      </w:r>
      <w:r>
        <w:rPr>
          <w:rFonts w:ascii="Calibri" w:hAnsi="Calibri" w:eastAsia="Calibri" w:cs="Calibri"/>
          <w:i/>
          <w:iCs/>
          <w:color w:val="000000"/>
          <w:sz w:val="22"/>
          <w:szCs w:val="22"/>
        </w:rPr>
        <w:t xml:space="preserve">Hirschmanniella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e05297, 31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Dr. ZTZ Maung (Kearney Agricultural Research and Extension Center (Parlier), UC Riverside, California, USA).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EPPO datasheets on pests recommended for regulation. Available online. </w:t>
      </w:r>
      <w:hyperlink r:id="rId55606aafdf37812e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0792616" name="name13356aafdf378187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0166aafdf378187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16124">
    <w:multiLevelType w:val="hybridMultilevel"/>
    <w:lvl w:ilvl="0" w:tplc="19612517">
      <w:start w:val="1"/>
      <w:numFmt w:val="decimal"/>
      <w:lvlText w:val="%1."/>
      <w:lvlJc w:val="left"/>
      <w:pPr>
        <w:ind w:left="720" w:hanging="360"/>
      </w:pPr>
    </w:lvl>
    <w:lvl w:ilvl="1" w:tplc="19612517" w:tentative="1">
      <w:start w:val="1"/>
      <w:numFmt w:val="lowerLetter"/>
      <w:lvlText w:val="%2."/>
      <w:lvlJc w:val="left"/>
      <w:pPr>
        <w:ind w:left="1440" w:hanging="360"/>
      </w:pPr>
    </w:lvl>
    <w:lvl w:ilvl="2" w:tplc="19612517" w:tentative="1">
      <w:start w:val="1"/>
      <w:numFmt w:val="lowerRoman"/>
      <w:lvlText w:val="%3."/>
      <w:lvlJc w:val="right"/>
      <w:pPr>
        <w:ind w:left="2160" w:hanging="180"/>
      </w:pPr>
    </w:lvl>
    <w:lvl w:ilvl="3" w:tplc="19612517" w:tentative="1">
      <w:start w:val="1"/>
      <w:numFmt w:val="decimal"/>
      <w:lvlText w:val="%4."/>
      <w:lvlJc w:val="left"/>
      <w:pPr>
        <w:ind w:left="2880" w:hanging="360"/>
      </w:pPr>
    </w:lvl>
    <w:lvl w:ilvl="4" w:tplc="19612517" w:tentative="1">
      <w:start w:val="1"/>
      <w:numFmt w:val="lowerLetter"/>
      <w:lvlText w:val="%5."/>
      <w:lvlJc w:val="left"/>
      <w:pPr>
        <w:ind w:left="3600" w:hanging="360"/>
      </w:pPr>
    </w:lvl>
    <w:lvl w:ilvl="5" w:tplc="19612517" w:tentative="1">
      <w:start w:val="1"/>
      <w:numFmt w:val="lowerRoman"/>
      <w:lvlText w:val="%6."/>
      <w:lvlJc w:val="right"/>
      <w:pPr>
        <w:ind w:left="4320" w:hanging="180"/>
      </w:pPr>
    </w:lvl>
    <w:lvl w:ilvl="6" w:tplc="19612517" w:tentative="1">
      <w:start w:val="1"/>
      <w:numFmt w:val="decimal"/>
      <w:lvlText w:val="%7."/>
      <w:lvlJc w:val="left"/>
      <w:pPr>
        <w:ind w:left="5040" w:hanging="360"/>
      </w:pPr>
    </w:lvl>
    <w:lvl w:ilvl="7" w:tplc="19612517" w:tentative="1">
      <w:start w:val="1"/>
      <w:numFmt w:val="lowerLetter"/>
      <w:lvlText w:val="%8."/>
      <w:lvlJc w:val="left"/>
      <w:pPr>
        <w:ind w:left="5760" w:hanging="360"/>
      </w:pPr>
    </w:lvl>
    <w:lvl w:ilvl="8" w:tplc="19612517" w:tentative="1">
      <w:start w:val="1"/>
      <w:numFmt w:val="lowerRoman"/>
      <w:lvlText w:val="%9."/>
      <w:lvlJc w:val="right"/>
      <w:pPr>
        <w:ind w:left="6480" w:hanging="180"/>
      </w:pPr>
    </w:lvl>
  </w:abstractNum>
  <w:abstractNum w:abstractNumId="87016123">
    <w:multiLevelType w:val="hybridMultilevel"/>
    <w:lvl w:ilvl="0" w:tplc="18882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16123">
    <w:abstractNumId w:val="87016123"/>
  </w:num>
  <w:num w:numId="87016124">
    <w:abstractNumId w:val="870161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223049" Type="http://schemas.microsoft.com/office/2011/relationships/commentsExtended" Target="commentsExtended.xml"/><Relationship Id="rId413131126" Type="http://schemas.microsoft.com/office/2011/relationships/people" Target="people.xml"/><Relationship Id="rId90266aafdf377c59f" Type="http://schemas.openxmlformats.org/officeDocument/2006/relationships/hyperlink" Target="https://gd.eppo.int/taxon/HIRSOR/" TargetMode="External"/><Relationship Id="rId71866aafdf377d004" Type="http://schemas.openxmlformats.org/officeDocument/2006/relationships/hyperlink" Target="https://gd.eppo.int/taxon/HIRSOR/photos" TargetMode="External"/><Relationship Id="rId33616aafdf378118d" Type="http://schemas.openxmlformats.org/officeDocument/2006/relationships/hyperlink" Target="https://doi.org/10.1079/pwkb.species.27867" TargetMode="External"/><Relationship Id="rId55606aafdf37812e8" Type="http://schemas.openxmlformats.org/officeDocument/2006/relationships/hyperlink" Target="https://gd.eppo.int" TargetMode="External"/><Relationship Id="rId55196aafdf377cea7" Type="http://schemas.openxmlformats.org/officeDocument/2006/relationships/image" Target="media/imgrId55196aafdf377cea7.jpg"/><Relationship Id="rId18626aafdf377e867" Type="http://schemas.openxmlformats.org/officeDocument/2006/relationships/image" Target="media/imgrId18626aafdf377e867.jpg"/><Relationship Id="rId80166aafdf3781876" Type="http://schemas.openxmlformats.org/officeDocument/2006/relationships/image" Target="media/imgrId80166aafdf378187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