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pallida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pallida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(Stone)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pallida</w:t>
            </w:r>
            <w:r>
              <w:rPr>
                <w:rFonts w:ascii="Calibri" w:hAnsi="Calibri" w:eastAsia="Calibri" w:cs="Calibri"/>
                <w:color w:val="000000"/>
                <w:position w:val="-3"/>
                <w:sz w:val="22"/>
                <w:szCs w:val="22"/>
              </w:rPr>
              <w:t xml:space="preserve"> Stone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pale potato cyst nematode, white potato cyst nematode</w:t>
            </w:r>
            <w:hyperlink r:id="rId5569663b98f4477c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106663b98f4478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022593" name="name2770663b98f44811c" descr="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jpg"/>
                          <pic:cNvPicPr/>
                        </pic:nvPicPr>
                        <pic:blipFill>
                          <a:blip r:embed="rId4747663b98f44811b" cstate="print"/>
                          <a:stretch>
                            <a:fillRect/>
                          </a:stretch>
                        </pic:blipFill>
                        <pic:spPr>
                          <a:xfrm>
                            <a:off x="0" y="0"/>
                            <a:ext cx="2160000" cy="1281600"/>
                          </a:xfrm>
                          <a:prstGeom prst="rect">
                            <a:avLst/>
                          </a:prstGeom>
                          <a:ln w="0">
                            <a:noFill/>
                          </a:ln>
                        </pic:spPr>
                      </pic:pic>
                    </a:graphicData>
                  </a:graphic>
                </wp:inline>
              </w:drawing>
            </w:r>
            <w:hyperlink r:id="rId8686663b98f44826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1973, a new potato cyst nematode (PCN) species,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from potato in Lincolnshire, England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 To accommodate the potato cyst nematodes and related species which have round cysts, Skarbilovich (1959) erected the subgenus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which was later elevated to generic status by Behrens (1975) (see also Mulvey &amp; Stone, 1976). </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distinct genetic differences among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populations spanning Europe and other regions, and those found in South America were revealed by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discovered that populations from South America have a greater genetic diversity. Two groups of South American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populations with large genetic diversity including the ‘pallida Chilean type’ were identified, suggesting this may be a cryptic species within a possible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complex. Further integrative taxonomical research, including high throughput sequencing (HTS), morphological and behavioral studies are required in order to clarify this (Thevenoux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can be potential host plants as well as a few other species of </w:t>
      </w:r>
      <w:r>
        <w:rPr>
          <w:rFonts w:ascii="Calibri" w:hAnsi="Calibri" w:eastAsia="Calibri" w:cs="Calibri"/>
          <w:i/>
          <w:iCs/>
          <w:color w:val="000000"/>
          <w:sz w:val="22"/>
          <w:szCs w:val="22"/>
        </w:rPr>
        <w:t xml:space="preserve">Datura, Hyoscyamus, Lycopersicon,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this method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three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pathotypes (Pa1-Pa3) and with five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pathotypes (Ro1- Ro5).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Variation in virulence in many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with respect to quantitative resistance derived from </w:t>
      </w:r>
      <w:r>
        <w:rPr>
          <w:rFonts w:ascii="Calibri" w:hAnsi="Calibri" w:eastAsia="Calibri" w:cs="Calibri"/>
          <w:i/>
          <w:iCs/>
          <w:color w:val="000000"/>
          <w:sz w:val="22"/>
          <w:szCs w:val="22"/>
        </w:rPr>
        <w:t xml:space="preserve">S. vernei</w:t>
      </w:r>
      <w:r>
        <w:rPr>
          <w:rFonts w:ascii="Calibri" w:hAnsi="Calibri" w:eastAsia="Calibri" w:cs="Calibri"/>
          <w:color w:val="000000"/>
          <w:sz w:val="22"/>
          <w:szCs w:val="22"/>
        </w:rPr>
        <w:t xml:space="preserve"> and other selected sources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cause problems. Due to the extensive heterogeneity of some populations and environmental influences these populations could not be reliably described as pathotypes (Phillips and Trudgill, 1998; Turner and Subbotin, 2013).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 </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mitochondrial sequences and microsatellite markers identified the more precise origin of western European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which is located in southern Peru, between Lake Titicaca and the city of Cusco (Plantard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72116706" name="name8482663b98f4496ec" descr="HETD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PA_distribution_map.jpg"/>
                    <pic:cNvPicPr/>
                  </pic:nvPicPr>
                  <pic:blipFill>
                    <a:blip r:embed="rId4551663b98f4496e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Denmark, Estonia, Finland, France (mainland), Germany, Greece (mainland, Kriti), Hungary, Ireland, Italy (mainland, Sicilia), Latvia, Lithuania, Luxembourg, Malta, Morocco, Netherlands, Norway, Portugal (mainland, Madeira), Romania, Serbia, Slovakia, Spain (mainland, Islas Baleares, Islas Canárias), Sweden, Switzerland, Tunisia, Türkiye, United Kingdom (Channel Islands, England, Northern Ireland, Scotland,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Jammu &amp; Kashmir, Kerala, Tamil Nadu, Uttarakhand),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United States of America (Idaho)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Falkland Islands,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 sedentary endoparasite. Second-stage juveniles (J2) hatch from eggs within cysts in the soil, under stimulus from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and white. The vermiform males leave the root and are attracted to females that exude sex pheromones. Many males may surround each female and multiple matings occur. Males live only a few days. After copulation the females remain on the roots while 200-500 eggs develop within them. When the females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usually has one generation per year. The life cycle is completed in 40-60 days (Stelter, 1971; Stone, 1973b; Jones &amp; Jones, 1974,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It is adapted to develop at colder temperatures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Optimum hatching of the J2 from the eggs occurs between 13-25°C, hatching starts at 5°C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Above 17.5°C, however, reproduction, number of females per plant and their fecundity, decreases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hatches more slowly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over a longer period and has overall a higher number of eggs which hatch successfully compared to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also declined faster than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pallida</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484 (440 – 525) µm long, having a well-developed stylet 23.8 (22-24) µm with robust and hooked knobs of 4-5 µm width with distinct forward projections and a pointed tail. Males are similar in general appearance, on average about 1200 µm long with a short and bluntly rounded tail terminus. Females are white or creamy coloured and spherical with a projecting neck, diameter approximately 450 µm (Stone, 1973a; 1973b, Brzeski, 1998). The cysts are smoothly rounded, no terminal cone, with a tanned skin. Vulval region consists of a single circumfenestration. The number of cuticular ridges between anus and vulva ranges from 8 - 20, generally lower than 14. Granek’s ratio is 1.2 - 3.5, generally lower than 3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as it has white rather than yellow-coloured females, a longer J2 stylet length (24 vs 22 µm) and a robust and square-hooked stylet knob (rather than small and rounded).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white or brown pin-heads on the root surface. Low-level infestations in the field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Diagnostic protocol for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(EPPO, 2021b) providing all relevant morphological information and molecular methods for an accurate identification. Combining morphological and molecular methods is highly recommended, especially when new introductions are suspected. Molecular methods such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 m per year and dry cysts can be dispersed to adjoining fields by wind or water. The main routes of spread are infested seed potatoes and movement of contaminated soil on non-host plants such as plants for planting, nursery stock and flower bulbs, farm machinery, ware potatoes or any other plant parts intended for consumption or processing. The latter are only important if there is a risk of these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This is particularly the case when, because of the pathotypes present, only a few resistant cultivars are commercially available for planting. Most popular cultivars have no resistance against </w:t>
      </w:r>
      <w:r>
        <w:rPr>
          <w:rFonts w:ascii="Calibri" w:hAnsi="Calibri" w:eastAsia="Calibri" w:cs="Calibri"/>
          <w:i/>
          <w:iCs/>
          <w:color w:val="000000"/>
          <w:sz w:val="22"/>
          <w:szCs w:val="22"/>
        </w:rPr>
        <w:t xml:space="preserve">G. pallida. </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despite the fact that identification of a single major resistance gene is very difficult due to the high genetic diversity of the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No single gene offers complete resistance, (unlike the H1 for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small number of partially or high resistant potato cultivars such as Innovator, Arsenal and Ivetta are currently on the market. However, Innovator is intolerant, not growing well when higher populations densities are present. Innovator and Arsenal are limited to the processing market, but Ivetta is also suitable for cooking.</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already established in most areas that are important for the cultivation of ware and starch potatoes; and regular attention to control is needed in such areas.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still absent from some areas or EPPO countries; in particular in some seed potato production areas, which should be kept as free as possible from this nematode. New introductions would have a high probability of establishing a viable population in areas where potatoes are grown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(EFSA, 2020). The German population ‘Oberlangen’ showed a higher reproduction and fitness than ‘Chavornay’, the standard Pa3 reference population. The resistance response of potato cultivar ‘Seresta’, restricting the development of a syncytium, only imposed a partial effect on the Oberlangen population, evident by the number of juveniles developing into females (Mwangi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w:t>
      </w:r>
      <w:r>
        <w:rPr>
          <w:rFonts w:ascii="Calibri" w:hAnsi="Calibri" w:eastAsia="Calibri" w:cs="Calibri"/>
          <w:i/>
          <w:iCs/>
          <w:color w:val="000000"/>
          <w:sz w:val="22"/>
          <w:szCs w:val="22"/>
        </w:rPr>
        <w:t xml:space="preserve">Proceedings of the 28th International Symposium of the European Society of Nematologists, 5-9 June, </w:t>
      </w:r>
      <w:r>
        <w:rPr>
          <w:rFonts w:ascii="Calibri" w:hAnsi="Calibri" w:eastAsia="Calibri" w:cs="Calibri"/>
          <w:color w:val="000000"/>
          <w:sz w:val="22"/>
          <w:szCs w:val="22"/>
        </w:rPr>
        <w:t xml:space="preserve">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Vortragstagung zu Aktuellen Problemen der Phytonematologie No. 1, pp.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de Scurrah M (1977)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4415663b98f44a88f"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2801663b98f44a904"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Grenier E, Kiewnick S, Smant G, Fournet S, Montarry J, Holterman M, Helder J &amp; Goverse A. Monitoring and tackling genetic selection in the potato cyst nematode Globodera pallida. EFSA supporting publication 2020:EN-1874. 25 pp. </w:t>
      </w:r>
      <w:hyperlink r:id="rId5434663b98f44a937" w:history="1">
        <w:r>
          <w:rPr>
            <w:rFonts w:ascii="Calibri" w:hAnsi="Calibri" w:eastAsia="Calibri" w:cs="Calibri"/>
            <w:color w:val="0000CC"/>
            <w:sz w:val="22"/>
            <w:szCs w:val="22"/>
            <w:u w:val="single"/>
          </w:rPr>
          <w:t xml:space="preserve">https://doi.org/10.2903/sp.efsa.2020.EN-1874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 (1)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PM3/68 (2) Testing of potato varieties to assess resistance to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 (5)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1522663b98f44ad6a" w:history="1">
        <w:r>
          <w:rPr>
            <w:rFonts w:ascii="Calibri" w:hAnsi="Calibri" w:eastAsia="Calibri" w:cs="Calibri"/>
            <w:color w:val="0000CC"/>
            <w:sz w:val="22"/>
            <w:szCs w:val="22"/>
            <w:u w:val="single"/>
          </w:rPr>
          <w:t xml:space="preserve">https://eur-lex.europa.eu/legal-content/EN/ALL/?uri=CELEX:32007L0033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CC &amp; Powers TO (1998) Potato cyst nematode diagnostics: morphology, differential hosts and biochemical techniques. In </w:t>
      </w:r>
      <w:r>
        <w:rPr>
          <w:rFonts w:ascii="Calibri" w:hAnsi="Calibri" w:eastAsia="Calibri" w:cs="Calibri"/>
          <w:i/>
          <w:iCs/>
          <w:color w:val="000000"/>
          <w:sz w:val="22"/>
          <w:szCs w:val="22"/>
        </w:rPr>
        <w:t xml:space="preserve">Potato Cyst Nematodes, Biology, Distribution and Control</w:t>
      </w:r>
      <w:r>
        <w:rPr>
          <w:rFonts w:ascii="Calibri" w:hAnsi="Calibri" w:eastAsia="Calibri" w:cs="Calibri"/>
          <w:color w:val="000000"/>
          <w:sz w:val="22"/>
          <w:szCs w:val="22"/>
        </w:rPr>
        <w:t xml:space="preserve"> (eds Marks RJ &amp; Brodie BB), pp. 91–114.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 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w:t>
      </w:r>
      <w:r>
        <w:rPr>
          <w:rFonts w:ascii="Calibri" w:hAnsi="Calibri" w:eastAsia="Calibri" w:cs="Calibri"/>
          <w:i/>
          <w:iCs/>
          <w:color w:val="000000"/>
          <w:sz w:val="22"/>
          <w:szCs w:val="22"/>
        </w:rPr>
        <w:t xml:space="preserve">Beheersing van aardappelmoeheid in de akkerbouw: Een update! Alles over aardappelmoeheid (AM): achtergronden, regelgeving, bemonstering, bestrijding en beheersing</w:t>
      </w:r>
      <w:r>
        <w:rPr>
          <w:rFonts w:ascii="Calibri" w:hAnsi="Calibri" w:eastAsia="Calibri" w:cs="Calibri"/>
          <w:color w:val="000000"/>
          <w:sz w:val="22"/>
          <w:szCs w:val="22"/>
        </w:rPr>
        <w:t xml:space="preserve">. </w:t>
      </w:r>
      <w:hyperlink r:id="rId1176663b98f44b0ad"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Stone AR (1976) Description of </w:t>
      </w:r>
      <w:r>
        <w:rPr>
          <w:rFonts w:ascii="Calibri" w:hAnsi="Calibri" w:eastAsia="Calibri" w:cs="Calibri"/>
          <w:i/>
          <w:iCs/>
          <w:color w:val="000000"/>
          <w:sz w:val="22"/>
          <w:szCs w:val="22"/>
        </w:rPr>
        <w:t xml:space="preserve">Punctodera matadorensis n.gen., n.sp</w:t>
      </w:r>
      <w:r>
        <w:rPr>
          <w:rFonts w:ascii="Calibri" w:hAnsi="Calibri" w:eastAsia="Calibri" w:cs="Calibri"/>
          <w:color w:val="000000"/>
          <w:sz w:val="22"/>
          <w:szCs w:val="22"/>
        </w:rPr>
        <w:t xml:space="preserve">. (Nematoda: Heteroderidae) from Saskatchewan with lists of species and generic diagnoses of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(n. rank), Heterodera, and Sarisodera.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772-785.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Niere B, Finckh MR, Krussel S &amp; Kiewnick S (2019) Reproduction and life history traits of a resistance breaking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MS &amp; Trudgill DL (1998) Variation of virulence in terms of quantitative reproduction of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populations, from Europe and South America, in relation to resistance from </w:t>
      </w:r>
      <w:r>
        <w:rPr>
          <w:rFonts w:ascii="Calibri" w:hAnsi="Calibri" w:eastAsia="Calibri" w:cs="Calibri"/>
          <w:i/>
          <w:iCs/>
          <w:color w:val="000000"/>
          <w:sz w:val="22"/>
          <w:szCs w:val="22"/>
        </w:rPr>
        <w:t xml:space="preserve">Solanum vernei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 S. tuberosum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Andigena </w:t>
      </w:r>
      <w:r>
        <w:rPr>
          <w:rFonts w:ascii="Calibri" w:hAnsi="Calibri" w:eastAsia="Calibri" w:cs="Calibri"/>
          <w:color w:val="000000"/>
          <w:sz w:val="22"/>
          <w:szCs w:val="22"/>
        </w:rPr>
        <w:t xml:space="preserve">cpc 2802.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409-423.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Sempere T &amp; Plantard O (2007) A northward colonisation of the Andes by the PCN during geological times suggests multiple host-shifts from wild to cultivated potatoes. </w:t>
      </w:r>
      <w:r>
        <w:rPr>
          <w:rFonts w:ascii="Calibri" w:hAnsi="Calibri" w:eastAsia="Calibri" w:cs="Calibri"/>
          <w:i/>
          <w:iCs/>
          <w:color w:val="000000"/>
          <w:sz w:val="22"/>
          <w:szCs w:val="22"/>
        </w:rPr>
        <w:t xml:space="preserve">Molecular Phylogenetics and Evoluations</w:t>
      </w:r>
      <w:r>
        <w:rPr>
          <w:rFonts w:ascii="Calibri" w:hAnsi="Calibri" w:eastAsia="Calibri" w:cs="Calibri"/>
          <w:b/>
          <w:bCs/>
          <w:color w:val="000000"/>
          <w:sz w:val="22"/>
          <w:szCs w:val="22"/>
        </w:rPr>
        <w:t xml:space="preserve"> 42</w:t>
      </w:r>
      <w:r>
        <w:rPr>
          <w:rFonts w:ascii="Calibri" w:hAnsi="Calibri" w:eastAsia="Calibri" w:cs="Calibri"/>
          <w:color w:val="000000"/>
          <w:sz w:val="22"/>
          <w:szCs w:val="22"/>
        </w:rPr>
        <w:t xml:space="preserve">, 308-316.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Plantard O, Picard D, Valette S, Scurrah M, Grenier E &amp;  Mugniery D (2008) Origin and genetic diversity of Western European populations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inferred from mitochondrial sequences and microsatellite loci. </w:t>
      </w:r>
      <w:r>
        <w:rPr>
          <w:rFonts w:ascii="Calibri" w:hAnsi="Calibri" w:eastAsia="Calibri" w:cs="Calibri"/>
          <w:i/>
          <w:iCs/>
          <w:color w:val="000000"/>
          <w:sz w:val="22"/>
          <w:szCs w:val="22"/>
        </w:rPr>
        <w:t xml:space="preserve">Molecular Ecology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2208-2218.</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 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w:t>
      </w:r>
      <w:r>
        <w:rPr>
          <w:rFonts w:ascii="Calibri" w:hAnsi="Calibri" w:eastAsia="Calibri" w:cs="Calibri"/>
          <w:i/>
          <w:iCs/>
          <w:color w:val="000000"/>
          <w:sz w:val="22"/>
          <w:szCs w:val="22"/>
        </w:rPr>
        <w:t xml:space="preserve">Laboratory methods for work with plant and soil nematodes</w:t>
      </w:r>
      <w:r>
        <w:rPr>
          <w:rFonts w:ascii="Calibri" w:hAnsi="Calibri" w:eastAsia="Calibri" w:cs="Calibri"/>
          <w:color w:val="000000"/>
          <w:sz w:val="22"/>
          <w:szCs w:val="22"/>
        </w:rPr>
        <w:t xml:space="preserve">.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w:t>
      </w:r>
      <w:r>
        <w:rPr>
          <w:rFonts w:ascii="Calibri" w:hAnsi="Calibri" w:eastAsia="Calibri" w:cs="Calibri"/>
          <w:i/>
          <w:iCs/>
          <w:color w:val="000000"/>
          <w:sz w:val="22"/>
          <w:szCs w:val="22"/>
        </w:rPr>
        <w:t xml:space="preserve">Heterodera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from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w:t>
      </w:r>
      <w:r>
        <w:rPr>
          <w:rFonts w:ascii="Calibri" w:hAnsi="Calibri" w:eastAsia="Calibri" w:cs="Calibri"/>
          <w:i/>
          <w:iCs/>
          <w:color w:val="000000"/>
          <w:sz w:val="22"/>
          <w:szCs w:val="22"/>
        </w:rPr>
        <w:t xml:space="preserve">Nematology Monographs and Perspectives 8A</w:t>
      </w:r>
      <w:r>
        <w:rPr>
          <w:rFonts w:ascii="Calibri" w:hAnsi="Calibri" w:eastAsia="Calibri" w:cs="Calibri"/>
          <w:color w:val="000000"/>
          <w:sz w:val="22"/>
          <w:szCs w:val="22"/>
        </w:rPr>
        <w:t xml:space="preserve"> (eds Hunt DJ &amp; Perry RN), </w:t>
      </w:r>
      <w:r>
        <w:rPr>
          <w:rFonts w:ascii="Calibri" w:hAnsi="Calibri" w:eastAsia="Calibri" w:cs="Calibri"/>
          <w:i/>
          <w:iCs/>
          <w:color w:val="000000"/>
          <w:sz w:val="22"/>
          <w:szCs w:val="22"/>
        </w:rPr>
        <w:t xml:space="preserve">Brill</w:t>
      </w:r>
      <w:r>
        <w:rPr>
          <w:rFonts w:ascii="Calibri" w:hAnsi="Calibri" w:eastAsia="Calibri" w:cs="Calibri"/>
          <w:color w:val="000000"/>
          <w:sz w:val="22"/>
          <w:szCs w:val="22"/>
        </w:rPr>
        <w:t xml:space="preserve">,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Thevenoux R, Folcher L, Esquibet M, Fouville D, Montarry J &amp; Grenier E (2020) The hidden diversity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 the south of Peru. </w:t>
      </w:r>
      <w:r>
        <w:rPr>
          <w:rFonts w:ascii="Calibri" w:hAnsi="Calibri" w:eastAsia="Calibri" w:cs="Calibri"/>
          <w:i/>
          <w:iCs/>
          <w:color w:val="000000"/>
          <w:sz w:val="22"/>
          <w:szCs w:val="22"/>
        </w:rPr>
        <w:t xml:space="preserve">Evolutionary Applications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727-737.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(eds Perry RN &amp;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Ajmal B, Bighiu A, Damme N &amp; De Sutter N (2019) Exploring heating of potato cysts as a method to disinfest soil. 5th Symposium of Potato Cyst Nematode Management.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95–102.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EPPO datasheets on pests recommended for regulation. Available online. </w:t>
      </w:r>
      <w:hyperlink r:id="rId7237663b98f44b9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124: </w:t>
      </w:r>
      <w:r>
        <w:rPr>
          <w:rFonts w:ascii="Calibri" w:hAnsi="Calibri" w:eastAsia="Calibri" w:cs="Calibri"/>
          <w:i/>
          <w:iCs/>
          <w:color w:val="000000"/>
          <w:sz w:val="22"/>
          <w:szCs w:val="22"/>
        </w:rPr>
        <w:t xml:space="preserve">Globodera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131-133. </w:t>
      </w:r>
      <w:hyperlink r:id="rId9257663b98f44bae7" w:history="1">
        <w:r>
          <w:rPr>
            <w:rFonts w:ascii="Calibri" w:hAnsi="Calibri" w:eastAsia="Calibri" w:cs="Calibri"/>
            <w:color w:val="0000CC"/>
            <w:sz w:val="22"/>
            <w:szCs w:val="22"/>
            <w:u w:val="single"/>
          </w:rPr>
          <w:t xml:space="preserve">https://doi.org/10.1111/j.1365-2338.1978.tb02785.x</w:t>
        </w:r>
      </w:hyperlink>
    </w:p>
    <w:p>
      <w:r>
        <w:drawing>
          <wp:inline distT="0" distB="0" distL="0" distR="0">
            <wp:extent cx="1800000" cy="604800"/>
            <wp:docPr id="97277028" name="name5473663b98f44bf4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62663b98f44bf4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15873">
    <w:multiLevelType w:val="hybridMultilevel"/>
    <w:lvl w:ilvl="0" w:tplc="45673527">
      <w:start w:val="1"/>
      <w:numFmt w:val="decimal"/>
      <w:lvlText w:val="%1."/>
      <w:lvlJc w:val="left"/>
      <w:pPr>
        <w:ind w:left="720" w:hanging="360"/>
      </w:pPr>
    </w:lvl>
    <w:lvl w:ilvl="1" w:tplc="45673527" w:tentative="1">
      <w:start w:val="1"/>
      <w:numFmt w:val="lowerLetter"/>
      <w:lvlText w:val="%2."/>
      <w:lvlJc w:val="left"/>
      <w:pPr>
        <w:ind w:left="1440" w:hanging="360"/>
      </w:pPr>
    </w:lvl>
    <w:lvl w:ilvl="2" w:tplc="45673527" w:tentative="1">
      <w:start w:val="1"/>
      <w:numFmt w:val="lowerRoman"/>
      <w:lvlText w:val="%3."/>
      <w:lvlJc w:val="right"/>
      <w:pPr>
        <w:ind w:left="2160" w:hanging="180"/>
      </w:pPr>
    </w:lvl>
    <w:lvl w:ilvl="3" w:tplc="45673527" w:tentative="1">
      <w:start w:val="1"/>
      <w:numFmt w:val="decimal"/>
      <w:lvlText w:val="%4."/>
      <w:lvlJc w:val="left"/>
      <w:pPr>
        <w:ind w:left="2880" w:hanging="360"/>
      </w:pPr>
    </w:lvl>
    <w:lvl w:ilvl="4" w:tplc="45673527" w:tentative="1">
      <w:start w:val="1"/>
      <w:numFmt w:val="lowerLetter"/>
      <w:lvlText w:val="%5."/>
      <w:lvlJc w:val="left"/>
      <w:pPr>
        <w:ind w:left="3600" w:hanging="360"/>
      </w:pPr>
    </w:lvl>
    <w:lvl w:ilvl="5" w:tplc="45673527" w:tentative="1">
      <w:start w:val="1"/>
      <w:numFmt w:val="lowerRoman"/>
      <w:lvlText w:val="%6."/>
      <w:lvlJc w:val="right"/>
      <w:pPr>
        <w:ind w:left="4320" w:hanging="180"/>
      </w:pPr>
    </w:lvl>
    <w:lvl w:ilvl="6" w:tplc="45673527" w:tentative="1">
      <w:start w:val="1"/>
      <w:numFmt w:val="decimal"/>
      <w:lvlText w:val="%7."/>
      <w:lvlJc w:val="left"/>
      <w:pPr>
        <w:ind w:left="5040" w:hanging="360"/>
      </w:pPr>
    </w:lvl>
    <w:lvl w:ilvl="7" w:tplc="45673527" w:tentative="1">
      <w:start w:val="1"/>
      <w:numFmt w:val="lowerLetter"/>
      <w:lvlText w:val="%8."/>
      <w:lvlJc w:val="left"/>
      <w:pPr>
        <w:ind w:left="5760" w:hanging="360"/>
      </w:pPr>
    </w:lvl>
    <w:lvl w:ilvl="8" w:tplc="45673527" w:tentative="1">
      <w:start w:val="1"/>
      <w:numFmt w:val="lowerRoman"/>
      <w:lvlText w:val="%9."/>
      <w:lvlJc w:val="right"/>
      <w:pPr>
        <w:ind w:left="6480" w:hanging="180"/>
      </w:pPr>
    </w:lvl>
  </w:abstractNum>
  <w:abstractNum w:abstractNumId="31415872">
    <w:multiLevelType w:val="hybridMultilevel"/>
    <w:lvl w:ilvl="0" w:tplc="83815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15872">
    <w:abstractNumId w:val="31415872"/>
  </w:num>
  <w:num w:numId="31415873">
    <w:abstractNumId w:val="314158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3960438" Type="http://schemas.microsoft.com/office/2011/relationships/commentsExtended" Target="commentsExtended.xml"/><Relationship Id="rId838244530" Type="http://schemas.microsoft.com/office/2011/relationships/people" Target="people.xml"/><Relationship Id="rId5569663b98f4477c2" Type="http://schemas.openxmlformats.org/officeDocument/2006/relationships/hyperlink" Target="https://gd.eppo.int/taxon/HETDPA/" TargetMode="External"/><Relationship Id="rId5106663b98f44782a" Type="http://schemas.openxmlformats.org/officeDocument/2006/relationships/hyperlink" Target="https://gd.eppo.int/taxon/HETDPA/categorization" TargetMode="External"/><Relationship Id="rId8686663b98f448264" Type="http://schemas.openxmlformats.org/officeDocument/2006/relationships/hyperlink" Target="https://gd.eppo.int/taxon/HETDPA/photos" TargetMode="External"/><Relationship Id="rId4415663b98f44a88f" Type="http://schemas.openxmlformats.org/officeDocument/2006/relationships/hyperlink" Target="https://doi.org/10.2903/j.efsa.2012.2644" TargetMode="External"/><Relationship Id="rId2801663b98f44a904" Type="http://schemas.openxmlformats.org/officeDocument/2006/relationships/hyperlink" Target="https://doi.org/10.2903/sp.efsa.2019.EN-1566" TargetMode="External"/><Relationship Id="rId5434663b98f44a937" Type="http://schemas.openxmlformats.org/officeDocument/2006/relationships/hyperlink" Target="https://doi.org/10.2903/sp.efsa.2020.EN-1874" TargetMode="External"/><Relationship Id="rId1522663b98f44ad6a" Type="http://schemas.openxmlformats.org/officeDocument/2006/relationships/hyperlink" Target="https://eur-lex.europa.eu/legal-content/EN/ALL/?uri=CELEX:32007L0033" TargetMode="External"/><Relationship Id="rId1176663b98f44b0ad" Type="http://schemas.openxmlformats.org/officeDocument/2006/relationships/hyperlink" Target="https://edepot.wur.nl/517931" TargetMode="External"/><Relationship Id="rId7237663b98f44b997" Type="http://schemas.openxmlformats.org/officeDocument/2006/relationships/hyperlink" Target="https://gd.eppo.int" TargetMode="External"/><Relationship Id="rId9257663b98f44bae7" Type="http://schemas.openxmlformats.org/officeDocument/2006/relationships/hyperlink" Target="https://doi.org/10.1111/j.1365-2338.1978.tb02785.x" TargetMode="External"/><Relationship Id="rId4747663b98f44811b" Type="http://schemas.openxmlformats.org/officeDocument/2006/relationships/image" Target="media/imgrId4747663b98f44811b.jpg"/><Relationship Id="rId4551663b98f4496e9" Type="http://schemas.openxmlformats.org/officeDocument/2006/relationships/image" Target="media/imgrId4551663b98f4496e9.jpg"/><Relationship Id="rId5562663b98f44bf46" Type="http://schemas.openxmlformats.org/officeDocument/2006/relationships/image" Target="media/imgrId5562663b98f44bf4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