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Globodera pallida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Globodera pallida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(Stone) Behrens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Heteroderidae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Heterodera pallida</w:t>
            </w:r>
            <w:r>
              <w:rPr>
                <w:rFonts w:ascii="Calibri" w:hAnsi="Calibri" w:eastAsia="Calibri" w:cs="Calibri"/>
                <w:color w:val="000000"/>
                <w:position w:val="-3"/>
                <w:sz w:val="22"/>
                <w:szCs w:val="22"/>
              </w:rPr>
              <w:t xml:space="preserve"> Stone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pale potato cyst nematode, white potato cyst nematode</w:t>
            </w:r>
            <w:hyperlink r:id="rId5908669801b2a820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6908669801b2a835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HETDPA</w:t>
            </w:r>
          </w:p>
        </w:tc>
        <w:tc>
          <w:tcPr>
            <w:tcW w:w="2000" w:type="pct"/>
            <w:tcMar>
              <w:top w:w="15" w:type="dxa"/>
              <w:left w:w="15" w:type="dxa"/>
              <w:bottom w:w="15" w:type="dxa"/>
              <w:right w:w="15" w:type="dxa"/>
            </w:tcMar>
            <w:vAlign w:val="center"/>
          </w:tcPr>
          <w:p>
            <w:r>
              <w:rPr>
                <w:position w:val="8"/>
              </w:rPr>
              <w:drawing>
                <wp:inline distT="0" distB="0" distL="0" distR="0">
                  <wp:extent cx="2160000" cy="0"/>
                  <wp:docPr id="23008235" name="name5772669801b2a8c8c" descr="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jpg"/>
                          <pic:cNvPicPr/>
                        </pic:nvPicPr>
                        <pic:blipFill>
                          <a:blip r:embed="rId3993669801b2a8c8a" cstate="print"/>
                          <a:stretch>
                            <a:fillRect/>
                          </a:stretch>
                        </pic:blipFill>
                        <pic:spPr>
                          <a:xfrm>
                            <a:off x="0" y="0"/>
                            <a:ext cx="2160000" cy="0"/>
                          </a:xfrm>
                          <a:prstGeom prst="rect">
                            <a:avLst/>
                          </a:prstGeom>
                          <a:ln w="0">
                            <a:noFill/>
                          </a:ln>
                        </pic:spPr>
                      </pic:pic>
                    </a:graphicData>
                  </a:graphic>
                </wp:inline>
              </w:drawing>
            </w:r>
            <w:hyperlink r:id="rId2886669801b2b65d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1973, a new potato cyst nematode (PCN) species, </w:t>
      </w:r>
      <w:r>
        <w:rPr>
          <w:rFonts w:ascii="Calibri" w:hAnsi="Calibri" w:eastAsia="Calibri" w:cs="Calibri"/>
          <w:i/>
          <w:iCs/>
          <w:color w:val="000000"/>
          <w:sz w:val="22"/>
          <w:szCs w:val="22"/>
        </w:rPr>
        <w:t xml:space="preserve">Heterodera pallida</w:t>
      </w:r>
      <w:r>
        <w:rPr>
          <w:rFonts w:ascii="Calibri" w:hAnsi="Calibri" w:eastAsia="Calibri" w:cs="Calibri"/>
          <w:color w:val="000000"/>
          <w:sz w:val="22"/>
          <w:szCs w:val="22"/>
        </w:rPr>
        <w:t xml:space="preserve">, was described from potato in Lincolnshire, England (Stone, 1973a). Before then, most records and technical data refer to </w:t>
      </w:r>
      <w:r>
        <w:rPr>
          <w:rFonts w:ascii="Calibri" w:hAnsi="Calibri" w:eastAsia="Calibri" w:cs="Calibri"/>
          <w:i/>
          <w:iCs/>
          <w:color w:val="000000"/>
          <w:sz w:val="22"/>
          <w:szCs w:val="22"/>
        </w:rPr>
        <w:t xml:space="preserve">H. rostochiensis sensu lato</w:t>
      </w:r>
      <w:r>
        <w:rPr>
          <w:rFonts w:ascii="Calibri" w:hAnsi="Calibri" w:eastAsia="Calibri" w:cs="Calibri"/>
          <w:color w:val="000000"/>
          <w:sz w:val="22"/>
          <w:szCs w:val="22"/>
        </w:rPr>
        <w:t xml:space="preserve">, which included both species, so it is not always possible to determine which species was referred to in earlier publications. To accommodate the potato cyst nematodes and related species which have round cysts, Skarbilovich (1959) erected the subgenus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which was later elevated to generic status by Behrens (1975) (see also Mulvey &amp; Stone, 1976). </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distinct genetic differences among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populations spanning Europe and other regions, and those found in South America were revealed by Subbotin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also discovered that populations from South America have a greater genetic diversity. Two groups of South American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populations with large genetic diversity including the ‘pallida Chilean type’ were identified, suggesting this may be a cryptic species within a possible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complex. Further integrative taxonomical research, including high throughput sequencing (HTS), morphological and behavioral studies are required in order to clarify this (Thevenoux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limited to plants of the Solanaceae family.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is by far the most important host crop. On tomato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and eggplant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no economic damage has been reported (EFSA, 2019). Over 130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spp., including their hybrids and weeds, can be potential host plants as well as a few other species of </w:t>
      </w:r>
      <w:r>
        <w:rPr>
          <w:rFonts w:ascii="Calibri" w:hAnsi="Calibri" w:eastAsia="Calibri" w:cs="Calibri"/>
          <w:i/>
          <w:iCs/>
          <w:color w:val="000000"/>
          <w:sz w:val="22"/>
          <w:szCs w:val="22"/>
        </w:rPr>
        <w:t xml:space="preserve">Datura, Hyoscyamus, Lycopersicon, Physalis, Physochlaina, Salpiglossis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Saracha</w:t>
      </w:r>
      <w:r>
        <w:rPr>
          <w:rFonts w:ascii="Calibri" w:hAnsi="Calibri" w:eastAsia="Calibri" w:cs="Calibri"/>
          <w:color w:val="000000"/>
          <w:sz w:val="22"/>
          <w:szCs w:val="22"/>
        </w:rPr>
        <w:t xml:space="preserve">, all belonging to the Solanaceae family (Sullivan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have several different pathotypes (Kort, 1974). The pathotypes are characterized by the ability of the population to multiply on certain tuberous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clones and hybrids used in breeding, with a mixture of qualitative and quantitative resistances. Some of these pathotypes are recognized by their almost total inability to multiply on specific potato cultivars (single-gene resistance); for example, commonly grown resistant potato cultivars (based on gene H1 deriving from clones of </w:t>
      </w:r>
      <w:r>
        <w:rPr>
          <w:rFonts w:ascii="Calibri" w:hAnsi="Calibri" w:eastAsia="Calibri" w:cs="Calibri"/>
          <w:i/>
          <w:iCs/>
          <w:color w:val="000000"/>
          <w:sz w:val="22"/>
          <w:szCs w:val="22"/>
        </w:rPr>
        <w:t xml:space="preserve">S. tuberosum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andigena</w:t>
      </w:r>
      <w:r>
        <w:rPr>
          <w:rFonts w:ascii="Calibri" w:hAnsi="Calibri" w:eastAsia="Calibri" w:cs="Calibri"/>
          <w:color w:val="000000"/>
          <w:sz w:val="22"/>
          <w:szCs w:val="22"/>
        </w:rPr>
        <w:t xml:space="preserve">) are resistant to pathotype Ro1 and Ro4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only. Other pathotypes show different levels of ability to multiply on different cultivars; this method is discussed by Mugniéry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Europe Kort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proposed a scheme with three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pathotypes (Pa1-Pa3) and with five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pathotypes (Ro1- Ro5). In South America Canto Saenz &amp; de Scurrah (1977) developed another scheme, recognizing more pathotypes. </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general acceptance, both pathotype schemes are considered insufficient for testing potato varieties for resistance to potato cyst nematodes. Variation in virulence in many European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populations with respect to quantitative resistance derived from </w:t>
      </w:r>
      <w:r>
        <w:rPr>
          <w:rFonts w:ascii="Calibri" w:hAnsi="Calibri" w:eastAsia="Calibri" w:cs="Calibri"/>
          <w:i/>
          <w:iCs/>
          <w:color w:val="000000"/>
          <w:sz w:val="22"/>
          <w:szCs w:val="22"/>
        </w:rPr>
        <w:t xml:space="preserve">S. vernei</w:t>
      </w:r>
      <w:r>
        <w:rPr>
          <w:rFonts w:ascii="Calibri" w:hAnsi="Calibri" w:eastAsia="Calibri" w:cs="Calibri"/>
          <w:color w:val="000000"/>
          <w:sz w:val="22"/>
          <w:szCs w:val="22"/>
        </w:rPr>
        <w:t xml:space="preserve"> and other selected sources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cause problems. Due to the extensive heterogeneity of some populations and environmental influences these populations could not be reliably described as pathotypes (Phillips and Trudgill, 1998; Turner and Subbotin, 2013). In Europe, it is generally accepted that only Pa1 and Ro1 are clearly separable pathotypes and the others are seen as overlapping populations. Nevertheless, the ‘European’ scheme is still used in many countries as it is the only available tool for the selection and assessment of PCN resistant potato cultivars as for example in EPPO Standard PM 3/68 (3) </w:t>
      </w:r>
      <w:r>
        <w:rPr>
          <w:rFonts w:ascii="Calibri" w:hAnsi="Calibri" w:eastAsia="Calibri" w:cs="Calibri"/>
          <w:i/>
          <w:iCs/>
          <w:color w:val="000000"/>
          <w:sz w:val="22"/>
          <w:szCs w:val="22"/>
        </w:rPr>
        <w:t xml:space="preserve">Testing of potato varieties to assess resistance to</w:t>
      </w:r>
      <w:r>
        <w:rPr>
          <w:rFonts w:ascii="Calibri" w:hAnsi="Calibri" w:eastAsia="Calibri" w:cs="Calibri"/>
          <w:color w:val="000000"/>
          <w:sz w:val="22"/>
          <w:szCs w:val="22"/>
        </w:rPr>
        <w:t xml:space="preserve"> Globodera rostochiensis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Globodera pallida (2021). In practice, field populations often contain mixtures of species which makes separation or characterization very difficult.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 origin of the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is in the Andes Mountains in South America from where they were introduced to Europe with potatoes, probably in the mid-19th century. From there, they were spread with seed potatoes to other areas. The present distribution covers temperate zones down to sea level and in the tropics at higher altitudes. In these areas, distribution is linked with that of the potato crop. </w:t>
      </w:r>
    </w:p>
    <w:p>
      <w:pPr>
        <w:widowControl w:val="on"/>
        <w:pBdr/>
        <w:spacing w:before="220" w:after="220" w:line="240" w:lineRule="auto"/>
        <w:ind w:left="0" w:right="0"/>
        <w:jc w:val="both"/>
      </w:pPr>
      <w:r>
        <w:rPr>
          <w:rFonts w:ascii="Calibri" w:hAnsi="Calibri" w:eastAsia="Calibri" w:cs="Calibri"/>
          <w:color w:val="000000"/>
          <w:sz w:val="22"/>
          <w:szCs w:val="22"/>
        </w:rPr>
        <w:t xml:space="preserve">Research on mitochondrial sequences and microsatellite markers identified the more precise origin of western European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which is located in southern Peru, between Lake Titicaca and the city of Cusco (Plantard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Analysis of the mtDNA haplotype distribution of PCN populations from all over the world (Subbotin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confirmed this, and for each of the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 different centre of origin was suggested in the Andes.</w:t>
      </w:r>
    </w:p>
    <w:p>
      <w:r>
        <w:drawing>
          <wp:inline distT="0" distB="0" distL="0" distR="0">
            <wp:extent cx="6120000" cy="0"/>
            <wp:docPr id="9733437" name="name3175669801b2b7b9f" descr="HETD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DPA_distribution_map.jpg"/>
                    <pic:cNvPicPr/>
                  </pic:nvPicPr>
                  <pic:blipFill>
                    <a:blip r:embed="rId9675669801b2b7b9c"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Belgium, Bosnia and Herzegovina, Bulgaria, Croatia, Cyprus, Czech Republic, Denmark, Estonia, Finland, France (mainland), Germany, Greece (mainland, Kriti), Hungary, Ireland, Italy (mainland, Sicilia), Latvia, Lithuania, Luxembourg, Malta, Morocco, Netherlands, Norway, Portugal (mainland, Madeira), Romania, Serbia, Slovakia, Spain (mainland, Islas Baleares, Islas Canárias), Sweden, Switzerland, Tunisia, Türkiye, United Kingdom (Channel Islands, England, Northern Ireland, Scotland, Wales)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Kenya,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(Himachal Pradesh, Jammu &amp; Kashmir, Kerala, Tamil Nadu, Uttarakhand), Japan (Hokkaido),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(Newfoundland), United States of America (Idaho)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Colombia, Ecuador, Falkland Islands,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a sedentary endoparasite. Second-stage juveniles (J2) hatch from eggs within cysts in the soil, under stimulus from root exudates of Solanaceae, and penetrate the root behind the growing root tip and move into the cortical region. Reaching the pericycle, the J2 penetrates a single cell and injects secretions which induce the formation of a large, multinucleate feeding structure, a syncytium, formed by dissolution of adjacent cell walls. The nematode remains here for the rest of its development, as it passes through two more juvenile stages to become either male or female. Females swell and break through the root surface but remain attached and white. The vermiform males leave the root and are attracted to females that exude sex pheromones. Many males may surround each female and multiple matings occur. Males live only a few days. After copulation the females remain on the roots while 200-500 eggs develop within them. When the females die and mature into cysts, their skin hardens and turns brown to become a protective cover around the eggs within. At this point they generally drop from the surface of the root into the soil. In temperate climate regions,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usually has one generation per year. The life cycle is completed in 40-60 days (Stelter, 1971; Stone, 1973b; Jones &amp; Jones, 1974, Subbotin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w:t>
      </w:r>
    </w:p>
    <w:p>
      <w:pPr>
        <w:widowControl w:val="on"/>
        <w:pBdr/>
        <w:spacing w:before="220" w:after="220" w:line="240" w:lineRule="auto"/>
        <w:ind w:left="0" w:right="0"/>
        <w:jc w:val="both"/>
      </w:pPr>
      <w:r>
        <w:rPr>
          <w:rFonts w:ascii="Calibri" w:hAnsi="Calibri" w:eastAsia="Calibri" w:cs="Calibri"/>
          <w:color w:val="000000"/>
          <w:sz w:val="22"/>
          <w:szCs w:val="22"/>
        </w:rPr>
        <w:t xml:space="preserve">Soil temperature has an influence on the development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It is adapted to develop at colder temperatures than</w:t>
      </w:r>
      <w:r>
        <w:rPr>
          <w:rFonts w:ascii="Calibri" w:hAnsi="Calibri" w:eastAsia="Calibri" w:cs="Calibri"/>
          <w:i/>
          <w:iCs/>
          <w:color w:val="000000"/>
          <w:sz w:val="22"/>
          <w:szCs w:val="22"/>
        </w:rPr>
        <w:t xml:space="preserve"> G. rostochiensis</w:t>
      </w:r>
      <w:r>
        <w:rPr>
          <w:rFonts w:ascii="Calibri" w:hAnsi="Calibri" w:eastAsia="Calibri" w:cs="Calibri"/>
          <w:color w:val="000000"/>
          <w:sz w:val="22"/>
          <w:szCs w:val="22"/>
        </w:rPr>
        <w:t xml:space="preserve">. Optimum hatching of the J2 from the eggs occurs between 13-25°C, hatching starts at 5°C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Above 17.5°C, however, reproduction, number of females per plant and their fecundity, decreases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hatches more slowly than</w:t>
      </w:r>
      <w:r>
        <w:rPr>
          <w:rFonts w:ascii="Calibri" w:hAnsi="Calibri" w:eastAsia="Calibri" w:cs="Calibri"/>
          <w:i/>
          <w:iCs/>
          <w:color w:val="000000"/>
          <w:sz w:val="22"/>
          <w:szCs w:val="22"/>
        </w:rPr>
        <w:t xml:space="preserve"> G. rostochiensis</w:t>
      </w:r>
      <w:r>
        <w:rPr>
          <w:rFonts w:ascii="Calibri" w:hAnsi="Calibri" w:eastAsia="Calibri" w:cs="Calibri"/>
          <w:color w:val="000000"/>
          <w:sz w:val="22"/>
          <w:szCs w:val="22"/>
        </w:rPr>
        <w:t xml:space="preserve">, over a longer period and has overall a higher number of eggs which hatch successfully compared to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(Den Nijs and Lock, 1992;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Cysts can remain dormant for many years (20 years or more) in the absence of solanaceous hosts, whereas second-stage juveniles have a much shorter survival time (weeks) when no hosts are present. For many years, a natural decline of 30-35% per year was assumed. Recently, it has become known that the type of soil affects this decrease: In sandy and peaty soils, the average decline in the first year after potato cultivation is much higher than in marine clay and loamy soils (69% vs 26%). In marine clay and loamy soils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populations also declined faster than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populations (Been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caused by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pallida</w:t>
      </w:r>
      <w:r>
        <w:rPr>
          <w:rFonts w:ascii="Calibri" w:hAnsi="Calibri" w:eastAsia="Calibri" w:cs="Calibri"/>
          <w:color w:val="000000"/>
          <w:sz w:val="22"/>
          <w:szCs w:val="22"/>
        </w:rPr>
        <w:t xml:space="preserve"> are not specific. Patches of poor growth occur generally in the crop, sometimes with stunting, yellowing, wilting or death of the foliage. The tuber size of infested plants can be reduced, even with minor symptoms on the foliage. Roots display extensive branching, causing more adherence of the soil to the root system. In case of heavy infestation, the crop dies prematurely.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Second-stage juveniles are vermiform and motile, 484 (440 – 525) µm long, having a well-developed stylet 23.8 (22-24) µm with robust and hooked knobs of 4-5 µm width with distinct forward projections and a pointed tail. Males are similar in general appearance, on average about 1200 µm long with a short and bluntly rounded tail terminus. Females are white or creamy coloured and spherical with a projecting neck, diameter approximately 450 µm (Stone, 1973a; 1973b, Brzeski, 1998). The cysts are smoothly rounded, no terminal cone, with a tanned skin. Vulval region consists of a single circumfenestration. The number of cuticular ridges between anus and vulva ranges from 8 - 20, generally lower than 14. Granek’s ratio is 1.2 - 3.5, generally lower than 3 (Baldwin &amp; Mundo-Ocampo, 1991, Flemming and Powers, 1998).</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the three similar PCN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ellingtonae</w:t>
      </w:r>
      <w:r>
        <w:rPr>
          <w:rFonts w:ascii="Calibri" w:hAnsi="Calibri" w:eastAsia="Calibri" w:cs="Calibri"/>
          <w:color w:val="000000"/>
          <w:sz w:val="22"/>
          <w:szCs w:val="22"/>
        </w:rPr>
        <w:t xml:space="preserve"> can only be done by well-trained persons, considering the high intraspecific variation and overlap between the species. Morphological as well as morphometric characteristics, including the number of cuticular ridges between anus and fenestra, Granek’s ratio, stylet length and shape of stylet knobs, need to be examined.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differs from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as it has white rather than yellow-coloured females, a longer J2 stylet length (24 vs 22 µm) and a robust and square-hooked stylet knob (rather than small and rounded).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9/26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Globodera pallida</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Globodera rostochiensis (EPPO, 2018),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(EPPO, 2007) and PM 3/75 Globodera rostochiensis </w:t>
      </w:r>
      <w:r>
        <w:rPr>
          <w:rFonts w:ascii="Calibri" w:hAnsi="Calibri" w:eastAsia="Calibri" w:cs="Calibri"/>
          <w:i/>
          <w:iCs/>
          <w:color w:val="000000"/>
          <w:sz w:val="22"/>
          <w:szCs w:val="22"/>
        </w:rPr>
        <w:t xml:space="preserve">and</w:t>
      </w:r>
      <w:r>
        <w:rPr>
          <w:rFonts w:ascii="Calibri" w:hAnsi="Calibri" w:eastAsia="Calibri" w:cs="Calibri"/>
          <w:color w:val="000000"/>
          <w:sz w:val="22"/>
          <w:szCs w:val="22"/>
        </w:rPr>
        <w:t xml:space="preserve"> Globodera pallida: </w:t>
      </w:r>
      <w:r>
        <w:rPr>
          <w:rFonts w:ascii="Calibri" w:hAnsi="Calibri" w:eastAsia="Calibri" w:cs="Calibri"/>
          <w:i/>
          <w:iCs/>
          <w:color w:val="000000"/>
          <w:sz w:val="22"/>
          <w:szCs w:val="22"/>
        </w:rPr>
        <w:t xml:space="preserve">sampling soil attached to ware potato tubers for detection prior to export and at import</w:t>
      </w:r>
      <w:r>
        <w:rPr>
          <w:rFonts w:ascii="Calibri" w:hAnsi="Calibri" w:eastAsia="Calibri" w:cs="Calibri"/>
          <w:color w:val="000000"/>
          <w:sz w:val="22"/>
          <w:szCs w:val="22"/>
        </w:rPr>
        <w:t xml:space="preserve"> (EPPO, 2014). Detection of the young cysts by lifting potato plants is only possible for a short period when females mature into cysts. When inspected too late, cysts can easily fall off when lifting the plants. Females and young cysts are just visible to the naked eye and look like tiny white or brown pin-heads on the root surface. Low-level infestations in the field are very difficult to detect visually, they cause no patchy growth of the potato crop. Sufficient soil sampling in a systematic manner is necessary to ensure that no infestation is present in the field. In addition, for detection or surveys, sampling of tare soil or the soil brushed off from the potatoes can be done (Viaene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(Southey, 1986) and identification should be carried out according to EPPO Standards PM 7/119 (EPPO, 2013) and PM 7/40 Diagnostic protocol for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(EPPO, 2021b) providing all relevant morphological information and molecular methods for an accurate identification. Combining morphological and molecular methods is highly recommended, especially when new introductions are suspected. Molecular methods such as PCR, real-time PCR, HTS or Sanger sequencing must be used intelligently, taking into account the distinctive features of the test or method. For high-throughput diagnosis it is possible to use the real-time PCR method of Reid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based on detection and identification of floats from the extraction machine. DNA-based methods do not discriminate between dead or live eggs and juveniles. Molecular determination of the viability combined with identification can be done with the RNA-specific real-time PCR of Beniers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has limited potential for natural movement; second-stage juveniles can move short distances in the soil when attracted towards roots, at most only 1 m per year and dry cysts can be dispersed to adjoining fields by wind or water. The main routes of spread are infested seed potatoes and movement of contaminated soil on non-host plants such as plants for planting, nursery stock and flower bulbs, farm machinery, ware potatoes or any other plant parts intended for consumption or processing. The latter are only important if there is a risk of these being planted or if care is not taken with disposal of waste soil. Soil as such and tare soil is also a pathway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cyst nematodes are major pests of the potato crop in cool and temperate areas, losses have been estimated within Europe at 9% of total potato production; and in other potato growing areas where less or no control strategies are used, almost total losses can occur (Turner and Subbotin, 2013). This is particularly the case when, because of the pathotypes present, only a few resistant cultivars are commercially available for planting. Most popular cultivars have no resistance against </w:t>
      </w:r>
      <w:r>
        <w:rPr>
          <w:rFonts w:ascii="Calibri" w:hAnsi="Calibri" w:eastAsia="Calibri" w:cs="Calibri"/>
          <w:i/>
          <w:iCs/>
          <w:color w:val="000000"/>
          <w:sz w:val="22"/>
          <w:szCs w:val="22"/>
        </w:rPr>
        <w:t xml:space="preserve">G. pallida. </w:t>
      </w:r>
    </w:p>
    <w:p>
      <w:pPr>
        <w:widowControl w:val="on"/>
        <w:pBdr/>
        <w:spacing w:before="220" w:after="220" w:line="240" w:lineRule="auto"/>
        <w:ind w:left="0" w:right="0"/>
        <w:jc w:val="both"/>
      </w:pPr>
      <w:r>
        <w:rPr>
          <w:rFonts w:ascii="Calibri" w:hAnsi="Calibri" w:eastAsia="Calibri" w:cs="Calibri"/>
          <w:color w:val="000000"/>
          <w:sz w:val="22"/>
          <w:szCs w:val="22"/>
        </w:rPr>
        <w:t xml:space="preserve">The amount of damage, particularly in relation to the weight of tubers produced, is closely related to the number of nematode eggs per unit of soil. It has been estimated that approximately 2 tonnes/ha of potatoes are lost for every 20 eggs/g soil (Brown, 1969). Up to 80% of the crop can be lost when nematode populations increase to very high levels due to repeated cultivation of potatoes. The damage threshold can be as low as 1-2 eggs/g soil, depending on environmental conditions and level of tolerance of the grown cultivar. In addition to yield loss, there is also an indirect impact due to costs for control and phytosanitary measures. Online decision tools as ‘Nemadecide’ were developed to help growers to keep PCN at low, economically acceptable density levels (Been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is traditionally by crop rotation, as it is recognized that after several years in the absence of potato cultivation the population of nematodes will be reduced to below the damage and detection thresholds; 6-7 years without potatoes is a common recommendation. Other more recent field management practices for limiting the population are; use of resistant potato crops and trap crops as sticky nightshade (</w:t>
      </w:r>
      <w:r>
        <w:rPr>
          <w:rFonts w:ascii="Calibri" w:hAnsi="Calibri" w:eastAsia="Calibri" w:cs="Calibri"/>
          <w:i/>
          <w:iCs/>
          <w:color w:val="000000"/>
          <w:sz w:val="22"/>
          <w:szCs w:val="22"/>
        </w:rPr>
        <w:t xml:space="preserve">S. sisymbriifolium)</w:t>
      </w:r>
      <w:r>
        <w:rPr>
          <w:rFonts w:ascii="Calibri" w:hAnsi="Calibri" w:eastAsia="Calibri" w:cs="Calibri"/>
          <w:color w:val="000000"/>
          <w:sz w:val="22"/>
          <w:szCs w:val="22"/>
        </w:rPr>
        <w:t xml:space="preserve">, biofumigation techniques, inundation or early destruction of susceptible potato crops before the life cycle has completed. In addition, good farm hygiene, including cleaning equipment and machinery, and reduction of growth of volunteer potato plants in the field is necessary (EPPO, 2020), in combination with regular testing for the presence of PCN and the use of suitable potato cultivars for effective deployment of the resistance (Molendijk and de Jongh,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last decade great progress had been made in the breeding of resistant potato varieties despite the fact that identification of a single major resistance gene is very difficult due to the high genetic diversity of the European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populations. No single gene offers complete resistance, (unlike the H1 for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 small number of partially or high resistant potato cultivars such as Innovator, Arsenal and Ivetta are currently on the market. However, Innovator is intolerant, not growing well when higher populations densities are present. Innovator and Arsenal are limited to the processing market, but Ivetta is also suitable for cooking.</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in tomato crops is chiefly by soil fumigants.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already established in most areas that are important for the cultivation of ware and starch potatoes; and regular attention to control is needed in such areas.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still absent from some areas or EPPO countries; in particular in some seed potato production areas, which should be kept as free as possible from this nematode. New introductions would have a high probability of establishing a viable population in areas where potatoes are grown (EFSA, 2012).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the introduction of new virulent populations by import of non-European populations, particularly South American populations, would pose a threat to the use of resistant cultivars as major tool in controlling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The inability to precisely link genetic variability to the virulence characteristics of a specific nematode population, and quickly identify the virulence status of intercepted populations for inspection purposes, strengthens the need to prevent their introduction (Hockland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New virulent populations can also arise from selection pressure as effect of intensive cropping presents risks, as recently occurred in Germany and the Netherlands (EFSA, 2020). The German population ‘Oberlangen’ showed a higher reproduction and fitness than ‘Chavornay’, the standard Pa3 reference population. The resistance response of potato cultivar ‘Seresta’, restricting the development of a syncytium, only imposed a partial effect on the Oberlangen population, evident by the number of juveniles developing into females (Mwangi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to plants for planting, soil associated with potatoes, as tare soil, and root crops for packing or processing is mostly not regulated or only rarely regulated. Combined with the increasing use of the same machinery on multiple farms e.g. between sugar beet and potato farms and the renting of land that belongs to different farms increases the risk of the spread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Recommendations are available in EPPO Standard PM 3/92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 (EPPO, 2021) to better address the risk associated with this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prevent the introduction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to areas where it is not already established include soil sampling surveys and regulations concerning movement of seed potatoes, nursery stock, flower bulbs and soil. These apply nationally as well as internationally.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potatoes (except micropropagative material and minitubers) and ware potatoes to be imported from third countries. In this Standard, seed potatoes should come from fields free from viable cysts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according to PM 9/26. Ware potatoes from non-EPPO countries where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occur should come, under transitional arrangements, from a pest free area and origin from a pest-free potato production and distribution system for the respective pests according to EPPO Standard PM 3/61 (EPPO, 2019), and confirmation by inspection or testing of tubers on import that the respective pest(s) does not occur. </w:t>
      </w:r>
    </w:p>
    <w:p>
      <w:pPr>
        <w:widowControl w:val="on"/>
        <w:pBdr/>
        <w:spacing w:before="220" w:after="220" w:line="240" w:lineRule="auto"/>
        <w:ind w:left="0" w:right="0"/>
        <w:jc w:val="both"/>
      </w:pPr>
      <w:r>
        <w:rPr>
          <w:rFonts w:ascii="Calibri" w:hAnsi="Calibri" w:eastAsia="Calibri" w:cs="Calibri"/>
          <w:color w:val="000000"/>
          <w:sz w:val="22"/>
          <w:szCs w:val="22"/>
        </w:rPr>
        <w:t xml:space="preserve">For several EPPO countries, seed potatoes, the major pathway for entry, is already closed. For example, in the EU, the implementation regulation 2019/2072 prohibits import of seed potatoes and plants for planting of stolon- 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safeguards during transit of consignments could be washing of tubers and flower bulbs to remove soil, although it should be noted that cysts can remain embedded in tubers, especially in the eyes.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are described in the national regulatory control system PM 9/26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2017). The regulatory control system was developed for potato but can be applied to other crops as well, with possible slight modifications depending on the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Baldwin JG &amp; Mundo-Ocampo M (1991) Heteroderinae, cyst- and non-cyst-forming nematodes. In </w:t>
      </w:r>
      <w:r>
        <w:rPr>
          <w:rFonts w:ascii="Calibri" w:hAnsi="Calibri" w:eastAsia="Calibri" w:cs="Calibri"/>
          <w:i/>
          <w:iCs/>
          <w:color w:val="000000"/>
          <w:sz w:val="22"/>
          <w:szCs w:val="22"/>
        </w:rPr>
        <w:t xml:space="preserve">Manual of Agricultural Nematology</w:t>
      </w:r>
      <w:r>
        <w:rPr>
          <w:rFonts w:ascii="Calibri" w:hAnsi="Calibri" w:eastAsia="Calibri" w:cs="Calibri"/>
          <w:color w:val="000000"/>
          <w:sz w:val="22"/>
          <w:szCs w:val="22"/>
        </w:rPr>
        <w:t xml:space="preserve"> (ed Nickle WR), pp. 275–362. Marcel Dekker,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Been TH, Schomaker CH &amp; Molendijk LPG (2006) NemaDecide, a decision support system for the management of potato cyst nematodes. In </w:t>
      </w:r>
      <w:r>
        <w:rPr>
          <w:rFonts w:ascii="Calibri" w:hAnsi="Calibri" w:eastAsia="Calibri" w:cs="Calibri"/>
          <w:i/>
          <w:iCs/>
          <w:color w:val="000000"/>
          <w:sz w:val="22"/>
          <w:szCs w:val="22"/>
        </w:rPr>
        <w:t xml:space="preserve">Proceedings of the 28th International Symposium of the European Society of Nematologists, 5-9 June, </w:t>
      </w:r>
      <w:r>
        <w:rPr>
          <w:rFonts w:ascii="Calibri" w:hAnsi="Calibri" w:eastAsia="Calibri" w:cs="Calibri"/>
          <w:color w:val="000000"/>
          <w:sz w:val="22"/>
          <w:szCs w:val="22"/>
        </w:rPr>
        <w:t xml:space="preserve">Blagoevgrad (BG). </w:t>
      </w:r>
    </w:p>
    <w:p>
      <w:pPr>
        <w:widowControl w:val="on"/>
        <w:pBdr/>
        <w:spacing w:before="220" w:after="220" w:line="240" w:lineRule="auto"/>
        <w:ind w:left="0" w:right="0"/>
        <w:jc w:val="left"/>
      </w:pPr>
      <w:r>
        <w:rPr>
          <w:rFonts w:ascii="Calibri" w:hAnsi="Calibri" w:eastAsia="Calibri" w:cs="Calibri"/>
          <w:color w:val="000000"/>
          <w:sz w:val="22"/>
          <w:szCs w:val="22"/>
        </w:rPr>
        <w:t xml:space="preserve">Been T, Schomaker C &amp; Molendijk L (2019) Natural decline of potato cyst nematodes in the Netherlands.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142, </w:t>
      </w:r>
      <w:r>
        <w:rPr>
          <w:rFonts w:ascii="Calibri" w:hAnsi="Calibri" w:eastAsia="Calibri" w:cs="Calibri"/>
          <w:color w:val="000000"/>
          <w:sz w:val="22"/>
          <w:szCs w:val="22"/>
        </w:rPr>
        <w:t xml:space="preserve">55-58.</w:t>
      </w:r>
    </w:p>
    <w:p>
      <w:pPr>
        <w:widowControl w:val="on"/>
        <w:pBdr/>
        <w:spacing w:before="220" w:after="220" w:line="240" w:lineRule="auto"/>
        <w:ind w:left="0" w:right="0"/>
        <w:jc w:val="left"/>
      </w:pPr>
      <w:r>
        <w:rPr>
          <w:rFonts w:ascii="Calibri" w:hAnsi="Calibri" w:eastAsia="Calibri" w:cs="Calibri"/>
          <w:color w:val="000000"/>
          <w:sz w:val="22"/>
          <w:szCs w:val="22"/>
        </w:rPr>
        <w:t xml:space="preserve">Behrens E (1975)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Skarbilovich, 1959 an independent genus in the subfamily Heteroderinae Skarbilovich, 1949 (Nematoda: Heteroderidae)]. Vortragstagung zu Aktuellen Problemen der Phytonematologie No. 1, pp. 12-26. </w:t>
      </w:r>
    </w:p>
    <w:p>
      <w:pPr>
        <w:widowControl w:val="on"/>
        <w:pBdr/>
        <w:spacing w:before="220" w:after="220" w:line="240" w:lineRule="auto"/>
        <w:ind w:left="0" w:right="0"/>
        <w:jc w:val="left"/>
      </w:pPr>
      <w:r>
        <w:rPr>
          <w:rFonts w:ascii="Calibri" w:hAnsi="Calibri" w:eastAsia="Calibri" w:cs="Calibri"/>
          <w:color w:val="000000"/>
          <w:sz w:val="22"/>
          <w:szCs w:val="22"/>
        </w:rPr>
        <w:t xml:space="preserve">Beniers JE, Been TH, Mendes O, van Gent-Pelzer MPE &amp; van der Lee TAJ (2014) Quantification of viable eggs of the potato cyst nematodes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using either trehalose or RNA-specific Real-time PCR.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1219-1232.</w:t>
      </w:r>
    </w:p>
    <w:p>
      <w:pPr>
        <w:widowControl w:val="on"/>
        <w:pBdr/>
        <w:spacing w:before="220" w:after="220" w:line="240" w:lineRule="auto"/>
        <w:ind w:left="0" w:right="0"/>
        <w:jc w:val="left"/>
      </w:pPr>
      <w:r>
        <w:rPr>
          <w:rFonts w:ascii="Calibri" w:hAnsi="Calibri" w:eastAsia="Calibri" w:cs="Calibri"/>
          <w:color w:val="000000"/>
          <w:sz w:val="22"/>
          <w:szCs w:val="22"/>
        </w:rPr>
        <w:t xml:space="preserve">Brzeski MW (1998) Nematodes of Tylenchina in Poland and Temperate Europe, pp. 234-238. Muzeum I Instytut Zoologii PAN, Warsaw (PL).</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EB (1969) Assessment of the damage caused to potatoes by potato cyst eelworm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493-502. </w:t>
      </w:r>
    </w:p>
    <w:p>
      <w:pPr>
        <w:widowControl w:val="on"/>
        <w:pBdr/>
        <w:spacing w:before="220" w:after="220" w:line="240" w:lineRule="auto"/>
        <w:ind w:left="0" w:right="0"/>
        <w:jc w:val="left"/>
      </w:pPr>
      <w:r>
        <w:rPr>
          <w:rFonts w:ascii="Calibri" w:hAnsi="Calibri" w:eastAsia="Calibri" w:cs="Calibri"/>
          <w:color w:val="000000"/>
          <w:sz w:val="22"/>
          <w:szCs w:val="22"/>
        </w:rPr>
        <w:t xml:space="preserve">Canto-Saenz M &amp; de Scurrah M (1977) Races of potato cyst nematode in the Andean region and a new system of classification.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340-349. </w:t>
      </w:r>
    </w:p>
    <w:p>
      <w:pPr>
        <w:widowControl w:val="on"/>
        <w:pBdr/>
        <w:spacing w:before="220" w:after="220" w:line="240" w:lineRule="auto"/>
        <w:ind w:left="0" w:right="0"/>
        <w:jc w:val="left"/>
      </w:pPr>
      <w:r>
        <w:rPr>
          <w:rFonts w:ascii="Calibri" w:hAnsi="Calibri" w:eastAsia="Calibri" w:cs="Calibri"/>
          <w:color w:val="000000"/>
          <w:sz w:val="22"/>
          <w:szCs w:val="22"/>
        </w:rPr>
        <w:t xml:space="preserve">Den Nijs LJFM &amp; Lock CAM (1992) Differential hatching of the potato cyst nematode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G</w:t>
      </w:r>
      <w:r>
        <w:rPr>
          <w:rFonts w:ascii="Calibri" w:hAnsi="Calibri" w:eastAsia="Calibri" w:cs="Calibri"/>
          <w:i/>
          <w:iCs/>
          <w:color w:val="000000"/>
          <w:sz w:val="22"/>
          <w:szCs w:val="22"/>
        </w:rPr>
        <w:t xml:space="preserve">. pallida</w:t>
      </w:r>
      <w:r>
        <w:rPr>
          <w:rFonts w:ascii="Calibri" w:hAnsi="Calibri" w:eastAsia="Calibri" w:cs="Calibri"/>
          <w:color w:val="000000"/>
          <w:sz w:val="22"/>
          <w:szCs w:val="22"/>
        </w:rPr>
        <w:t xml:space="preserve"> in root diffusates and water of differing ionic composition. </w:t>
      </w:r>
      <w:r>
        <w:rPr>
          <w:rFonts w:ascii="Calibri" w:hAnsi="Calibri" w:eastAsia="Calibri" w:cs="Calibri"/>
          <w:i/>
          <w:iCs/>
          <w:color w:val="000000"/>
          <w:sz w:val="22"/>
          <w:szCs w:val="22"/>
        </w:rPr>
        <w:t xml:space="preserve">Netherlands Journal of Plant Pathology</w:t>
      </w:r>
      <w:r>
        <w:rPr>
          <w:rFonts w:ascii="Calibri" w:hAnsi="Calibri" w:eastAsia="Calibri" w:cs="Calibri"/>
          <w:b/>
          <w:bCs/>
          <w:color w:val="000000"/>
          <w:sz w:val="22"/>
          <w:szCs w:val="22"/>
        </w:rPr>
        <w:t xml:space="preserve"> 98</w:t>
      </w:r>
      <w:r>
        <w:rPr>
          <w:rFonts w:ascii="Calibri" w:hAnsi="Calibri" w:eastAsia="Calibri" w:cs="Calibri"/>
          <w:color w:val="000000"/>
          <w:sz w:val="22"/>
          <w:szCs w:val="22"/>
        </w:rPr>
        <w:t xml:space="preserve">, 117-128.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(2012) EFSA Panel on Plant Health (PLH); Scientific Opinion on the risks to plant health posed by European versus non-European populations of the potato cyst nematodes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2644, 71 pp. </w:t>
      </w:r>
      <w:hyperlink r:id="rId3705669801b2c9067" w:history="1">
        <w:r>
          <w:rPr>
            <w:rFonts w:ascii="Calibri" w:hAnsi="Calibri" w:eastAsia="Calibri" w:cs="Calibri"/>
            <w:color w:val="0000CC"/>
            <w:sz w:val="22"/>
            <w:szCs w:val="22"/>
            <w:u w:val="single"/>
          </w:rPr>
          <w:t xml:space="preserve">https://doi.org/10.2903/j.efsa.2012.2644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 </w:t>
      </w:r>
      <w:r>
        <w:rPr>
          <w:rFonts w:ascii="Calibri" w:hAnsi="Calibri" w:eastAsia="Calibri" w:cs="Calibri"/>
          <w:color w:val="000000"/>
          <w:sz w:val="22"/>
          <w:szCs w:val="22"/>
        </w:rPr>
        <w:t xml:space="preserve">EFSA supporting publication EN-1566. </w:t>
      </w:r>
      <w:hyperlink r:id="rId6362669801b2c90ee" w:history="1">
        <w:r>
          <w:rPr>
            <w:rFonts w:ascii="Calibri" w:hAnsi="Calibri" w:eastAsia="Calibri" w:cs="Calibri"/>
            <w:color w:val="0000CC"/>
            <w:sz w:val="22"/>
            <w:szCs w:val="22"/>
            <w:u w:val="single"/>
          </w:rPr>
          <w:t xml:space="preserve">https://doi.org/10.2903/sp.efsa.2019.EN-1566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Grenier E, Kiewnick S, Smant G, Fournet S, Montarry J, Holterman M, Helder J &amp; Goverse A. Monitoring and tackling genetic selection in the potato cyst nematode Globodera pallida. EFSA supporting publication 2020:EN-1874. 25 pp. </w:t>
      </w:r>
      <w:hyperlink r:id="rId5195669801b2c9129" w:history="1">
        <w:r>
          <w:rPr>
            <w:rFonts w:ascii="Calibri" w:hAnsi="Calibri" w:eastAsia="Calibri" w:cs="Calibri"/>
            <w:color w:val="0000CC"/>
            <w:sz w:val="22"/>
            <w:szCs w:val="22"/>
            <w:u w:val="single"/>
          </w:rPr>
          <w:t xml:space="preserve">https://doi.org/10.2903/sp.efsa.2020.EN-1874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EPPO Standard PM3/75(1)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sampling soil attached to ware potato tubers for detection prior to export and import.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44</w:t>
      </w:r>
      <w:r>
        <w:rPr>
          <w:rFonts w:ascii="Calibri" w:hAnsi="Calibri" w:eastAsia="Calibri" w:cs="Calibri"/>
          <w:color w:val="000000"/>
          <w:sz w:val="22"/>
          <w:szCs w:val="22"/>
        </w:rPr>
        <w:t xml:space="preserve">, 316-317.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9/26 (1) National regulatory control system for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516-532.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3/61 (2)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3/89 (1) Control of volunteer potato plants.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372-382.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PM3/68 (2) Testing of potato varieties to assess resistance to </w:t>
      </w:r>
      <w:r>
        <w:rPr>
          <w:rFonts w:ascii="Calibri" w:hAnsi="Calibri" w:eastAsia="Calibri" w:cs="Calibri"/>
          <w:i/>
          <w:iCs/>
          <w:color w:val="000000"/>
          <w:sz w:val="22"/>
          <w:szCs w:val="22"/>
        </w:rPr>
        <w:t xml:space="preserve">Globodera rostochiensis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404-405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7/40 (5)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286-313.</w:t>
      </w:r>
    </w:p>
    <w:p>
      <w:pPr>
        <w:widowControl w:val="on"/>
        <w:pBdr/>
        <w:spacing w:before="220" w:after="220" w:line="240" w:lineRule="auto"/>
        <w:ind w:left="0" w:right="0"/>
        <w:jc w:val="left"/>
      </w:pPr>
      <w:r>
        <w:rPr>
          <w:rFonts w:ascii="Calibri" w:hAnsi="Calibri" w:eastAsia="Calibri" w:cs="Calibri"/>
          <w:color w:val="000000"/>
          <w:sz w:val="22"/>
          <w:szCs w:val="22"/>
        </w:rPr>
        <w:t xml:space="preserve">EU (2007) Council Directive 2007/33/EC of 11 June 2007 on the control of potato cyst nematodes and repealing Directive 69/465/EEC. </w:t>
      </w:r>
      <w:r>
        <w:rPr>
          <w:rFonts w:ascii="Calibri" w:hAnsi="Calibri" w:eastAsia="Calibri" w:cs="Calibri"/>
          <w:i/>
          <w:iCs/>
          <w:color w:val="000000"/>
          <w:sz w:val="22"/>
          <w:szCs w:val="22"/>
        </w:rPr>
        <w:t xml:space="preserve">Official Journal of the European Union </w:t>
      </w:r>
      <w:r>
        <w:rPr>
          <w:rFonts w:ascii="Calibri" w:hAnsi="Calibri" w:eastAsia="Calibri" w:cs="Calibri"/>
          <w:color w:val="000000"/>
          <w:sz w:val="22"/>
          <w:szCs w:val="22"/>
        </w:rPr>
        <w:t xml:space="preserve">L 156, p. 12-22. Available at </w:t>
      </w:r>
      <w:hyperlink r:id="rId9441669801b2c95d0" w:history="1">
        <w:r>
          <w:rPr>
            <w:rFonts w:ascii="Calibri" w:hAnsi="Calibri" w:eastAsia="Calibri" w:cs="Calibri"/>
            <w:color w:val="0000CC"/>
            <w:sz w:val="22"/>
            <w:szCs w:val="22"/>
            <w:u w:val="single"/>
          </w:rPr>
          <w:t xml:space="preserve">https://eur-lex.europa.eu/legal-content/EN/ALL/?uri=CELEX:32007L0033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Fleming CC &amp; Powers TO (1998) Potato cyst nematode diagnostics: morphology, differential hosts and biochemical techniques. In </w:t>
      </w:r>
      <w:r>
        <w:rPr>
          <w:rFonts w:ascii="Calibri" w:hAnsi="Calibri" w:eastAsia="Calibri" w:cs="Calibri"/>
          <w:i/>
          <w:iCs/>
          <w:color w:val="000000"/>
          <w:sz w:val="22"/>
          <w:szCs w:val="22"/>
        </w:rPr>
        <w:t xml:space="preserve">Potato Cyst Nematodes, Biology, Distribution and Control</w:t>
      </w:r>
      <w:r>
        <w:rPr>
          <w:rFonts w:ascii="Calibri" w:hAnsi="Calibri" w:eastAsia="Calibri" w:cs="Calibri"/>
          <w:color w:val="000000"/>
          <w:sz w:val="22"/>
          <w:szCs w:val="22"/>
        </w:rPr>
        <w:t xml:space="preserve"> (eds Marks RJ &amp; Brodie BB), pp. 91–114.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Hockland S, Niere B, Grenier E, Blok V, Phillips M, Den Nijs L, Anthoine G, Pickup J &amp; Viaene N (2012) An evaluation of the implications of virulence in non-European populations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for potato cultivation in Europe.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1-13.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FGW &amp; Jones MG (1974) Pests of field crops, 448 pp. Arnold,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Jones LM, Koehler A-K, Trnka M, Balek J, Challinor AJ, Atkinson HJ &amp; Urwin P (2017) Climate change is predicted to alter the current pest status of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in the United Kingdom. </w:t>
      </w:r>
      <w:r>
        <w:rPr>
          <w:rFonts w:ascii="Calibri" w:hAnsi="Calibri" w:eastAsia="Calibri" w:cs="Calibri"/>
          <w:i/>
          <w:iCs/>
          <w:color w:val="000000"/>
          <w:sz w:val="22"/>
          <w:szCs w:val="22"/>
        </w:rPr>
        <w:t xml:space="preserve">Global Change Biology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4497-4507. </w:t>
      </w:r>
    </w:p>
    <w:p>
      <w:pPr>
        <w:widowControl w:val="on"/>
        <w:pBdr/>
        <w:spacing w:before="220" w:after="220" w:line="240" w:lineRule="auto"/>
        <w:ind w:left="0" w:right="0"/>
        <w:jc w:val="left"/>
      </w:pPr>
      <w:r>
        <w:rPr>
          <w:rFonts w:ascii="Calibri" w:hAnsi="Calibri" w:eastAsia="Calibri" w:cs="Calibri"/>
          <w:color w:val="000000"/>
          <w:sz w:val="22"/>
          <w:szCs w:val="22"/>
        </w:rPr>
        <w:t xml:space="preserve">Kaczmarek A, MacKenzie K, Kettle H &amp; Blok V (2014) Influence of soil temperature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396-405.</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(1974) Identification of pathotypes of the potato cyst nematode.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511-518. </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Ross H, Rumpenhorst HJ &amp; Stone AR (1977) An international scheme for the identification of pathotypes of potato cyst nematodes </w:t>
      </w:r>
      <w:r>
        <w:rPr>
          <w:rFonts w:ascii="Calibri" w:hAnsi="Calibri" w:eastAsia="Calibri" w:cs="Calibri"/>
          <w:i/>
          <w:iCs/>
          <w:color w:val="000000"/>
          <w:sz w:val="22"/>
          <w:szCs w:val="22"/>
        </w:rPr>
        <w:t xml:space="preserve">Globodera rostochiensis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 pallida.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333-339.</w:t>
      </w:r>
    </w:p>
    <w:p>
      <w:pPr>
        <w:widowControl w:val="on"/>
        <w:pBdr/>
        <w:spacing w:before="220" w:after="220" w:line="240" w:lineRule="auto"/>
        <w:ind w:left="0" w:right="0"/>
        <w:jc w:val="left"/>
      </w:pPr>
      <w:r>
        <w:rPr>
          <w:rFonts w:ascii="Calibri" w:hAnsi="Calibri" w:eastAsia="Calibri" w:cs="Calibri"/>
          <w:color w:val="000000"/>
          <w:sz w:val="22"/>
          <w:szCs w:val="22"/>
        </w:rPr>
        <w:t xml:space="preserve">Molendijk LPG &amp; de Jongh E (2018) </w:t>
      </w:r>
      <w:r>
        <w:rPr>
          <w:rFonts w:ascii="Calibri" w:hAnsi="Calibri" w:eastAsia="Calibri" w:cs="Calibri"/>
          <w:i/>
          <w:iCs/>
          <w:color w:val="000000"/>
          <w:sz w:val="22"/>
          <w:szCs w:val="22"/>
        </w:rPr>
        <w:t xml:space="preserve">Beheersing van aardappelmoeheid in de akkerbouw: Een update! Alles over aardappelmoeheid (AM): achtergronden, regelgeving, bemonstering, bestrijding en beheersing</w:t>
      </w:r>
      <w:r>
        <w:rPr>
          <w:rFonts w:ascii="Calibri" w:hAnsi="Calibri" w:eastAsia="Calibri" w:cs="Calibri"/>
          <w:color w:val="000000"/>
          <w:sz w:val="22"/>
          <w:szCs w:val="22"/>
        </w:rPr>
        <w:t xml:space="preserve">. </w:t>
      </w:r>
      <w:hyperlink r:id="rId9373669801b2c993d" w:history="1">
        <w:r>
          <w:rPr>
            <w:rFonts w:ascii="Calibri" w:hAnsi="Calibri" w:eastAsia="Calibri" w:cs="Calibri"/>
            <w:color w:val="0000CC"/>
            <w:sz w:val="22"/>
            <w:szCs w:val="22"/>
            <w:u w:val="single"/>
          </w:rPr>
          <w:t xml:space="preserve">https://edepot.wur.nl/517931</w:t>
        </w:r>
      </w:hyperlink>
      <w:r>
        <w:rPr>
          <w:rFonts w:ascii="Calibri" w:hAnsi="Calibri" w:eastAsia="Calibri" w:cs="Calibri"/>
          <w:color w:val="000000"/>
          <w:sz w:val="22"/>
          <w:szCs w:val="22"/>
        </w:rPr>
        <w:t xml:space="preserve">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Mugniéry D, Phillips MS, Rumpenhorst HJ, Stone AR, Treur A &amp; Trudgill DL (1989) Assessment of partial resistance of potato to, and pathotype and virulence differences in, potato cyst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7-25. </w:t>
      </w:r>
    </w:p>
    <w:p>
      <w:pPr>
        <w:widowControl w:val="on"/>
        <w:pBdr/>
        <w:spacing w:before="220" w:after="220" w:line="240" w:lineRule="auto"/>
        <w:ind w:left="0" w:right="0"/>
        <w:jc w:val="left"/>
      </w:pPr>
      <w:r>
        <w:rPr>
          <w:rFonts w:ascii="Calibri" w:hAnsi="Calibri" w:eastAsia="Calibri" w:cs="Calibri"/>
          <w:color w:val="000000"/>
          <w:sz w:val="22"/>
          <w:szCs w:val="22"/>
        </w:rPr>
        <w:t xml:space="preserve">Mulvey RH &amp; Stone AR (1976) Description of </w:t>
      </w:r>
      <w:r>
        <w:rPr>
          <w:rFonts w:ascii="Calibri" w:hAnsi="Calibri" w:eastAsia="Calibri" w:cs="Calibri"/>
          <w:i/>
          <w:iCs/>
          <w:color w:val="000000"/>
          <w:sz w:val="22"/>
          <w:szCs w:val="22"/>
        </w:rPr>
        <w:t xml:space="preserve">Punctodera matadorensis n.gen., n.sp</w:t>
      </w:r>
      <w:r>
        <w:rPr>
          <w:rFonts w:ascii="Calibri" w:hAnsi="Calibri" w:eastAsia="Calibri" w:cs="Calibri"/>
          <w:color w:val="000000"/>
          <w:sz w:val="22"/>
          <w:szCs w:val="22"/>
        </w:rPr>
        <w:t xml:space="preserve">. (Nematoda: Heteroderidae) from Saskatchewan with lists of species and generic diagnoses of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(n. rank), Heterodera, and Sarisodera. </w:t>
      </w:r>
      <w:r>
        <w:rPr>
          <w:rFonts w:ascii="Calibri" w:hAnsi="Calibri" w:eastAsia="Calibri" w:cs="Calibri"/>
          <w:i/>
          <w:iCs/>
          <w:color w:val="000000"/>
          <w:sz w:val="22"/>
          <w:szCs w:val="22"/>
        </w:rPr>
        <w:t xml:space="preserve">Canadian Journal of Zoology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772-785. </w:t>
      </w:r>
    </w:p>
    <w:p>
      <w:pPr>
        <w:widowControl w:val="on"/>
        <w:pBdr/>
        <w:spacing w:before="220" w:after="220" w:line="240" w:lineRule="auto"/>
        <w:ind w:left="0" w:right="0"/>
        <w:jc w:val="left"/>
      </w:pPr>
      <w:r>
        <w:rPr>
          <w:rFonts w:ascii="Calibri" w:hAnsi="Calibri" w:eastAsia="Calibri" w:cs="Calibri"/>
          <w:color w:val="000000"/>
          <w:sz w:val="22"/>
          <w:szCs w:val="22"/>
        </w:rPr>
        <w:t xml:space="preserve">Mwangi JM, Niere B, Finckh MR, Krussel S &amp; Kiewnick S (2019) Reproduction and life history traits of a resistance breaking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population.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MS &amp; Trudgill DL (1998) Variation of virulence in terms of quantitative reproduction of </w:t>
      </w:r>
      <w:r>
        <w:rPr>
          <w:rFonts w:ascii="Calibri" w:hAnsi="Calibri" w:eastAsia="Calibri" w:cs="Calibri"/>
          <w:i/>
          <w:iCs/>
          <w:color w:val="000000"/>
          <w:sz w:val="22"/>
          <w:szCs w:val="22"/>
        </w:rPr>
        <w:t xml:space="preserve">Globodera pallida </w:t>
      </w:r>
      <w:r>
        <w:rPr>
          <w:rFonts w:ascii="Calibri" w:hAnsi="Calibri" w:eastAsia="Calibri" w:cs="Calibri"/>
          <w:color w:val="000000"/>
          <w:sz w:val="22"/>
          <w:szCs w:val="22"/>
        </w:rPr>
        <w:t xml:space="preserve">populations, from Europe and South America, in relation to resistance from </w:t>
      </w:r>
      <w:r>
        <w:rPr>
          <w:rFonts w:ascii="Calibri" w:hAnsi="Calibri" w:eastAsia="Calibri" w:cs="Calibri"/>
          <w:i/>
          <w:iCs/>
          <w:color w:val="000000"/>
          <w:sz w:val="22"/>
          <w:szCs w:val="22"/>
        </w:rPr>
        <w:t xml:space="preserve">Solanum vernei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 S. tuberosum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Andigena </w:t>
      </w:r>
      <w:r>
        <w:rPr>
          <w:rFonts w:ascii="Calibri" w:hAnsi="Calibri" w:eastAsia="Calibri" w:cs="Calibri"/>
          <w:color w:val="000000"/>
          <w:sz w:val="22"/>
          <w:szCs w:val="22"/>
        </w:rPr>
        <w:t xml:space="preserve">cpc 2802.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409-423.</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Sempere T &amp; Plantard O (2007) A northward colonisation of the Andes by the PCN during geological times suggests multiple host-shifts from wild to cultivated potatoes. </w:t>
      </w:r>
      <w:r>
        <w:rPr>
          <w:rFonts w:ascii="Calibri" w:hAnsi="Calibri" w:eastAsia="Calibri" w:cs="Calibri"/>
          <w:i/>
          <w:iCs/>
          <w:color w:val="000000"/>
          <w:sz w:val="22"/>
          <w:szCs w:val="22"/>
        </w:rPr>
        <w:t xml:space="preserve">Molecular Phylogenetics and Evoluations</w:t>
      </w:r>
      <w:r>
        <w:rPr>
          <w:rFonts w:ascii="Calibri" w:hAnsi="Calibri" w:eastAsia="Calibri" w:cs="Calibri"/>
          <w:b/>
          <w:bCs/>
          <w:color w:val="000000"/>
          <w:sz w:val="22"/>
          <w:szCs w:val="22"/>
        </w:rPr>
        <w:t xml:space="preserve"> 42</w:t>
      </w:r>
      <w:r>
        <w:rPr>
          <w:rFonts w:ascii="Calibri" w:hAnsi="Calibri" w:eastAsia="Calibri" w:cs="Calibri"/>
          <w:color w:val="000000"/>
          <w:sz w:val="22"/>
          <w:szCs w:val="22"/>
        </w:rPr>
        <w:t xml:space="preserve">, 308-316.</w:t>
      </w:r>
    </w:p>
    <w:p>
      <w:pPr>
        <w:widowControl w:val="on"/>
        <w:pBdr/>
        <w:spacing w:before="220" w:after="220" w:line="240" w:lineRule="auto"/>
        <w:ind w:left="0" w:right="0"/>
        <w:jc w:val="left"/>
      </w:pPr>
      <w:r>
        <w:rPr>
          <w:rFonts w:ascii="Calibri" w:hAnsi="Calibri" w:eastAsia="Calibri" w:cs="Calibri"/>
          <w:color w:val="000000"/>
          <w:sz w:val="22"/>
          <w:szCs w:val="22"/>
        </w:rPr>
        <w:t xml:space="preserve">Plantard O, Picard D, Valette S, Scurrah M, Grenier E &amp;  Mugniery D (2008) Origin and genetic diversity of Western European populations of the potato cyst nematode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inferred from mitochondrial sequences and microsatellite loci. </w:t>
      </w:r>
      <w:r>
        <w:rPr>
          <w:rFonts w:ascii="Calibri" w:hAnsi="Calibri" w:eastAsia="Calibri" w:cs="Calibri"/>
          <w:i/>
          <w:iCs/>
          <w:color w:val="000000"/>
          <w:sz w:val="22"/>
          <w:szCs w:val="22"/>
        </w:rPr>
        <w:t xml:space="preserve">Molecular Ecology</w:t>
      </w:r>
      <w:r>
        <w:rPr>
          <w:rFonts w:ascii="Calibri" w:hAnsi="Calibri" w:eastAsia="Calibri" w:cs="Calibri"/>
          <w:b/>
          <w:bCs/>
          <w:color w:val="000000"/>
          <w:sz w:val="22"/>
          <w:szCs w:val="22"/>
        </w:rPr>
        <w:t xml:space="preserve"> 17</w:t>
      </w:r>
      <w:r>
        <w:rPr>
          <w:rFonts w:ascii="Calibri" w:hAnsi="Calibri" w:eastAsia="Calibri" w:cs="Calibri"/>
          <w:color w:val="000000"/>
          <w:sz w:val="22"/>
          <w:szCs w:val="22"/>
        </w:rPr>
        <w:t xml:space="preserve">, 2208-2218.</w:t>
      </w:r>
    </w:p>
    <w:p>
      <w:pPr>
        <w:widowControl w:val="on"/>
        <w:pBdr/>
        <w:spacing w:before="220" w:after="220" w:line="240" w:lineRule="auto"/>
        <w:ind w:left="0" w:right="0"/>
        <w:jc w:val="left"/>
      </w:pPr>
      <w:r>
        <w:rPr>
          <w:rFonts w:ascii="Calibri" w:hAnsi="Calibri" w:eastAsia="Calibri" w:cs="Calibri"/>
          <w:color w:val="000000"/>
          <w:sz w:val="22"/>
          <w:szCs w:val="22"/>
        </w:rPr>
        <w:t xml:space="preserve">Reid A, Evans FF, Mulholland V, Cole Y &amp; Pickup J (2015) High-throughput diagnosis of potato cyst nematodes in soil samples. </w:t>
      </w:r>
      <w:r>
        <w:rPr>
          <w:rFonts w:ascii="Calibri" w:hAnsi="Calibri" w:eastAsia="Calibri" w:cs="Calibri"/>
          <w:i/>
          <w:iCs/>
          <w:color w:val="000000"/>
          <w:sz w:val="22"/>
          <w:szCs w:val="22"/>
        </w:rPr>
        <w:t xml:space="preserve">Plant Pathology: Techniques and Protocols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1302</w:t>
      </w:r>
      <w:r>
        <w:rPr>
          <w:rFonts w:ascii="Calibri" w:hAnsi="Calibri" w:eastAsia="Calibri" w:cs="Calibri"/>
          <w:color w:val="000000"/>
          <w:sz w:val="22"/>
          <w:szCs w:val="22"/>
        </w:rPr>
        <w:t xml:space="preserve">, 137–148.</w:t>
      </w:r>
    </w:p>
    <w:p>
      <w:pPr>
        <w:widowControl w:val="on"/>
        <w:pBdr/>
        <w:spacing w:before="220" w:after="220" w:line="240" w:lineRule="auto"/>
        <w:ind w:left="0" w:right="0"/>
        <w:jc w:val="left"/>
      </w:pPr>
      <w:r>
        <w:rPr>
          <w:rFonts w:ascii="Calibri" w:hAnsi="Calibri" w:eastAsia="Calibri" w:cs="Calibri"/>
          <w:color w:val="000000"/>
          <w:sz w:val="22"/>
          <w:szCs w:val="22"/>
        </w:rPr>
        <w:t xml:space="preserve">Skarbilovich TS (1959) On the structure of the systematics of nematode order Tylenchida Thorne, 1949. </w:t>
      </w:r>
      <w:r>
        <w:rPr>
          <w:rFonts w:ascii="Calibri" w:hAnsi="Calibri" w:eastAsia="Calibri" w:cs="Calibri"/>
          <w:i/>
          <w:iCs/>
          <w:color w:val="000000"/>
          <w:sz w:val="22"/>
          <w:szCs w:val="22"/>
        </w:rPr>
        <w:t xml:space="preserve">Acta Parasitologica Polonica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117-132. </w:t>
      </w:r>
    </w:p>
    <w:p>
      <w:pPr>
        <w:widowControl w:val="on"/>
        <w:pBdr/>
        <w:spacing w:before="220" w:after="220" w:line="240" w:lineRule="auto"/>
        <w:ind w:left="0" w:right="0"/>
        <w:jc w:val="left"/>
      </w:pPr>
      <w:r>
        <w:rPr>
          <w:rFonts w:ascii="Calibri" w:hAnsi="Calibri" w:eastAsia="Calibri" w:cs="Calibri"/>
          <w:color w:val="000000"/>
          <w:sz w:val="22"/>
          <w:szCs w:val="22"/>
        </w:rPr>
        <w:t xml:space="preserve">Southey JF (1986) </w:t>
      </w:r>
      <w:r>
        <w:rPr>
          <w:rFonts w:ascii="Calibri" w:hAnsi="Calibri" w:eastAsia="Calibri" w:cs="Calibri"/>
          <w:i/>
          <w:iCs/>
          <w:color w:val="000000"/>
          <w:sz w:val="22"/>
          <w:szCs w:val="22"/>
        </w:rPr>
        <w:t xml:space="preserve">Laboratory methods for work with plant and soil nematodes</w:t>
      </w:r>
      <w:r>
        <w:rPr>
          <w:rFonts w:ascii="Calibri" w:hAnsi="Calibri" w:eastAsia="Calibri" w:cs="Calibri"/>
          <w:color w:val="000000"/>
          <w:sz w:val="22"/>
          <w:szCs w:val="22"/>
        </w:rPr>
        <w:t xml:space="preserve">. Ministry of Agriculture, Fisheries and Food Reference Book No. 402, HMSO,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Stelter H (1971) [The potato cyst nematode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Wollenweber)]. Wissenschaftliche Abhandlungen der Deutschen Akademie der Landwirtschaftswissenschaften zu Berlin No. 59, 290 pp.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(1973a) </w:t>
      </w:r>
      <w:r>
        <w:rPr>
          <w:rFonts w:ascii="Calibri" w:hAnsi="Calibri" w:eastAsia="Calibri" w:cs="Calibri"/>
          <w:i/>
          <w:iCs/>
          <w:color w:val="000000"/>
          <w:sz w:val="22"/>
          <w:szCs w:val="22"/>
        </w:rPr>
        <w:t xml:space="preserve">Heterodera pallida n. sp</w:t>
      </w:r>
      <w:r>
        <w:rPr>
          <w:rFonts w:ascii="Calibri" w:hAnsi="Calibri" w:eastAsia="Calibri" w:cs="Calibri"/>
          <w:color w:val="000000"/>
          <w:sz w:val="22"/>
          <w:szCs w:val="22"/>
        </w:rPr>
        <w:t xml:space="preserve">. (Nematoda: Heteroderidae), a second species of potato cyst nematode.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591-606.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(1973b) </w:t>
      </w:r>
      <w:r>
        <w:rPr>
          <w:rFonts w:ascii="Calibri" w:hAnsi="Calibri" w:eastAsia="Calibri" w:cs="Calibri"/>
          <w:i/>
          <w:iCs/>
          <w:color w:val="000000"/>
          <w:sz w:val="22"/>
          <w:szCs w:val="22"/>
        </w:rPr>
        <w:t xml:space="preserve">Heterodera pallida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CIH Descriptions of Plant parasitic Nematodes. 16 and 17.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Franco J, Knoetze R, Roubtsova TV, Bostock RM &amp; Prado Vera IC del (2020) DNA barcoding, phylogeny and phylogeography of the cyst nematode species from the genus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(Tylenchida: Heteroderidae). </w:t>
      </w:r>
      <w:r>
        <w:rPr>
          <w:rFonts w:ascii="Calibri" w:hAnsi="Calibri" w:eastAsia="Calibri" w:cs="Calibri"/>
          <w:i/>
          <w:iCs/>
          <w:color w:val="000000"/>
          <w:sz w:val="22"/>
          <w:szCs w:val="22"/>
        </w:rPr>
        <w:t xml:space="preserve">Nematology</w:t>
      </w:r>
      <w:r>
        <w:rPr>
          <w:rFonts w:ascii="Calibri" w:hAnsi="Calibri" w:eastAsia="Calibri" w:cs="Calibri"/>
          <w:b/>
          <w:bCs/>
          <w:color w:val="000000"/>
          <w:sz w:val="22"/>
          <w:szCs w:val="22"/>
        </w:rPr>
        <w:t xml:space="preserve"> 22</w:t>
      </w:r>
      <w:r>
        <w:rPr>
          <w:rFonts w:ascii="Calibri" w:hAnsi="Calibri" w:eastAsia="Calibri" w:cs="Calibri"/>
          <w:color w:val="000000"/>
          <w:sz w:val="22"/>
          <w:szCs w:val="22"/>
        </w:rPr>
        <w:t xml:space="preserve">, 269-297.</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Mundo-Ocampo &amp; Maldwin JG (2010) Systematics of cyst nematodes (Nematoda: Heteroderidae). In </w:t>
      </w:r>
      <w:r>
        <w:rPr>
          <w:rFonts w:ascii="Calibri" w:hAnsi="Calibri" w:eastAsia="Calibri" w:cs="Calibri"/>
          <w:i/>
          <w:iCs/>
          <w:color w:val="000000"/>
          <w:sz w:val="22"/>
          <w:szCs w:val="22"/>
        </w:rPr>
        <w:t xml:space="preserve">Nematology Monographs and Perspectives 8A</w:t>
      </w:r>
      <w:r>
        <w:rPr>
          <w:rFonts w:ascii="Calibri" w:hAnsi="Calibri" w:eastAsia="Calibri" w:cs="Calibri"/>
          <w:color w:val="000000"/>
          <w:sz w:val="22"/>
          <w:szCs w:val="22"/>
        </w:rPr>
        <w:t xml:space="preserve"> (eds Hunt DJ &amp; Perry RN), </w:t>
      </w:r>
      <w:r>
        <w:rPr>
          <w:rFonts w:ascii="Calibri" w:hAnsi="Calibri" w:eastAsia="Calibri" w:cs="Calibri"/>
          <w:i/>
          <w:iCs/>
          <w:color w:val="000000"/>
          <w:sz w:val="22"/>
          <w:szCs w:val="22"/>
        </w:rPr>
        <w:t xml:space="preserve">Brill</w:t>
      </w:r>
      <w:r>
        <w:rPr>
          <w:rFonts w:ascii="Calibri" w:hAnsi="Calibri" w:eastAsia="Calibri" w:cs="Calibri"/>
          <w:color w:val="000000"/>
          <w:sz w:val="22"/>
          <w:szCs w:val="22"/>
        </w:rPr>
        <w:t xml:space="preserve">, Leiden, (NL).</w:t>
      </w:r>
    </w:p>
    <w:p>
      <w:pPr>
        <w:widowControl w:val="on"/>
        <w:pBdr/>
        <w:spacing w:before="220" w:after="220" w:line="240" w:lineRule="auto"/>
        <w:ind w:left="0" w:right="0"/>
        <w:jc w:val="left"/>
      </w:pPr>
      <w:r>
        <w:rPr>
          <w:rFonts w:ascii="Calibri" w:hAnsi="Calibri" w:eastAsia="Calibri" w:cs="Calibri"/>
          <w:color w:val="000000"/>
          <w:sz w:val="22"/>
          <w:szCs w:val="22"/>
        </w:rPr>
        <w:t xml:space="preserve">Sullivan MJ, Inserra RN, Franco J, Moreno-Leheudé I &amp; Greco N (2007) Potato cyst nematodes: Plant host status and their regulatory impact.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193-201.</w:t>
      </w:r>
    </w:p>
    <w:p>
      <w:pPr>
        <w:widowControl w:val="on"/>
        <w:pBdr/>
        <w:spacing w:before="220" w:after="220" w:line="240" w:lineRule="auto"/>
        <w:ind w:left="0" w:right="0"/>
        <w:jc w:val="left"/>
      </w:pPr>
      <w:r>
        <w:rPr>
          <w:rFonts w:ascii="Calibri" w:hAnsi="Calibri" w:eastAsia="Calibri" w:cs="Calibri"/>
          <w:color w:val="000000"/>
          <w:sz w:val="22"/>
          <w:szCs w:val="22"/>
        </w:rPr>
        <w:t xml:space="preserve">Thevenoux R, Folcher L, Esquibet M, Fouville D, Montarry J &amp; Grenier E (2020) The hidden diversity of the potato cyst nematode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in the south of Peru. </w:t>
      </w:r>
      <w:r>
        <w:rPr>
          <w:rFonts w:ascii="Calibri" w:hAnsi="Calibri" w:eastAsia="Calibri" w:cs="Calibri"/>
          <w:i/>
          <w:iCs/>
          <w:color w:val="000000"/>
          <w:sz w:val="22"/>
          <w:szCs w:val="22"/>
        </w:rPr>
        <w:t xml:space="preserve">Evolutionary Applications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727-737. </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SJ &amp; Subbotin SA (2013) Cyst nematodes, pp 109-143. In </w:t>
      </w:r>
      <w:r>
        <w:rPr>
          <w:rFonts w:ascii="Calibri" w:hAnsi="Calibri" w:eastAsia="Calibri" w:cs="Calibri"/>
          <w:i/>
          <w:iCs/>
          <w:color w:val="000000"/>
          <w:sz w:val="22"/>
          <w:szCs w:val="22"/>
        </w:rPr>
        <w:t xml:space="preserve">Plant Nematology</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edn. (eds Perry RN &amp; Moens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Viaene N, Deeren A-M, Goeminne M, Dupont P, Demeulemeester K, Lanterbecq D &amp; De Proft M (2016) An alternative way of soil sampling for detection of field infestations with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In </w:t>
      </w:r>
      <w:r>
        <w:rPr>
          <w:rFonts w:ascii="Calibri" w:hAnsi="Calibri" w:eastAsia="Calibri" w:cs="Calibri"/>
          <w:i/>
          <w:iCs/>
          <w:color w:val="000000"/>
          <w:sz w:val="22"/>
          <w:szCs w:val="22"/>
        </w:rPr>
        <w:t xml:space="preserve">Abstract Book of the 32nd Symposium of the European Society of Nematologists</w:t>
      </w:r>
      <w:r>
        <w:rPr>
          <w:rFonts w:ascii="Calibri" w:hAnsi="Calibri" w:eastAsia="Calibri" w:cs="Calibri"/>
          <w:color w:val="000000"/>
          <w:sz w:val="22"/>
          <w:szCs w:val="22"/>
        </w:rPr>
        <w:t xml:space="preserve">, p 155 Braga (PT).</w:t>
      </w:r>
    </w:p>
    <w:p>
      <w:pPr>
        <w:widowControl w:val="on"/>
        <w:pBdr/>
        <w:spacing w:before="220" w:after="220" w:line="240" w:lineRule="auto"/>
        <w:ind w:left="0" w:right="0"/>
        <w:jc w:val="left"/>
      </w:pPr>
      <w:r>
        <w:rPr>
          <w:rFonts w:ascii="Calibri" w:hAnsi="Calibri" w:eastAsia="Calibri" w:cs="Calibri"/>
          <w:color w:val="000000"/>
          <w:sz w:val="22"/>
          <w:szCs w:val="22"/>
        </w:rPr>
        <w:t xml:space="preserve">Viaene N, Ajmal B, Bighiu A, Damme N &amp; De Sutter N (2019) Exploring heating of potato cysts as a method to disinfest soil. 5th Symposium of Potato Cyst Nematode Management.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95–102.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Evelyn van Heese (NVWA, NL).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EPPO datasheets on pests recommended for regulation. Available online. </w:t>
      </w:r>
      <w:hyperlink r:id="rId1029669801b2ca19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124: </w:t>
      </w:r>
      <w:r>
        <w:rPr>
          <w:rFonts w:ascii="Calibri" w:hAnsi="Calibri" w:eastAsia="Calibri" w:cs="Calibri"/>
          <w:i/>
          <w:iCs/>
          <w:color w:val="000000"/>
          <w:sz w:val="22"/>
          <w:szCs w:val="22"/>
        </w:rPr>
        <w:t xml:space="preserve">Globodera pallida.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131-133. </w:t>
      </w:r>
      <w:hyperlink r:id="rId3909669801b2ca309" w:history="1">
        <w:r>
          <w:rPr>
            <w:rFonts w:ascii="Calibri" w:hAnsi="Calibri" w:eastAsia="Calibri" w:cs="Calibri"/>
            <w:color w:val="0000CC"/>
            <w:sz w:val="22"/>
            <w:szCs w:val="22"/>
            <w:u w:val="single"/>
          </w:rPr>
          <w:t xml:space="preserve">https://doi.org/10.1111/j.1365-2338.1978.tb02785.x</w:t>
        </w:r>
      </w:hyperlink>
    </w:p>
    <w:p>
      <w:r>
        <w:drawing>
          <wp:inline distT="0" distB="0" distL="0" distR="0">
            <wp:extent cx="0" cy="0"/>
            <wp:docPr id="64693439" name="name9842669801b2ca37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202669801b2ca371"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153006">
    <w:multiLevelType w:val="hybridMultilevel"/>
    <w:lvl w:ilvl="0" w:tplc="98313801">
      <w:start w:val="1"/>
      <w:numFmt w:val="decimal"/>
      <w:lvlText w:val="%1."/>
      <w:lvlJc w:val="left"/>
      <w:pPr>
        <w:ind w:left="720" w:hanging="360"/>
      </w:pPr>
    </w:lvl>
    <w:lvl w:ilvl="1" w:tplc="98313801" w:tentative="1">
      <w:start w:val="1"/>
      <w:numFmt w:val="lowerLetter"/>
      <w:lvlText w:val="%2."/>
      <w:lvlJc w:val="left"/>
      <w:pPr>
        <w:ind w:left="1440" w:hanging="360"/>
      </w:pPr>
    </w:lvl>
    <w:lvl w:ilvl="2" w:tplc="98313801" w:tentative="1">
      <w:start w:val="1"/>
      <w:numFmt w:val="lowerRoman"/>
      <w:lvlText w:val="%3."/>
      <w:lvlJc w:val="right"/>
      <w:pPr>
        <w:ind w:left="2160" w:hanging="180"/>
      </w:pPr>
    </w:lvl>
    <w:lvl w:ilvl="3" w:tplc="98313801" w:tentative="1">
      <w:start w:val="1"/>
      <w:numFmt w:val="decimal"/>
      <w:lvlText w:val="%4."/>
      <w:lvlJc w:val="left"/>
      <w:pPr>
        <w:ind w:left="2880" w:hanging="360"/>
      </w:pPr>
    </w:lvl>
    <w:lvl w:ilvl="4" w:tplc="98313801" w:tentative="1">
      <w:start w:val="1"/>
      <w:numFmt w:val="lowerLetter"/>
      <w:lvlText w:val="%5."/>
      <w:lvlJc w:val="left"/>
      <w:pPr>
        <w:ind w:left="3600" w:hanging="360"/>
      </w:pPr>
    </w:lvl>
    <w:lvl w:ilvl="5" w:tplc="98313801" w:tentative="1">
      <w:start w:val="1"/>
      <w:numFmt w:val="lowerRoman"/>
      <w:lvlText w:val="%6."/>
      <w:lvlJc w:val="right"/>
      <w:pPr>
        <w:ind w:left="4320" w:hanging="180"/>
      </w:pPr>
    </w:lvl>
    <w:lvl w:ilvl="6" w:tplc="98313801" w:tentative="1">
      <w:start w:val="1"/>
      <w:numFmt w:val="decimal"/>
      <w:lvlText w:val="%7."/>
      <w:lvlJc w:val="left"/>
      <w:pPr>
        <w:ind w:left="5040" w:hanging="360"/>
      </w:pPr>
    </w:lvl>
    <w:lvl w:ilvl="7" w:tplc="98313801" w:tentative="1">
      <w:start w:val="1"/>
      <w:numFmt w:val="lowerLetter"/>
      <w:lvlText w:val="%8."/>
      <w:lvlJc w:val="left"/>
      <w:pPr>
        <w:ind w:left="5760" w:hanging="360"/>
      </w:pPr>
    </w:lvl>
    <w:lvl w:ilvl="8" w:tplc="98313801" w:tentative="1">
      <w:start w:val="1"/>
      <w:numFmt w:val="lowerRoman"/>
      <w:lvlText w:val="%9."/>
      <w:lvlJc w:val="right"/>
      <w:pPr>
        <w:ind w:left="6480" w:hanging="180"/>
      </w:pPr>
    </w:lvl>
  </w:abstractNum>
  <w:abstractNum w:abstractNumId="18153005">
    <w:multiLevelType w:val="hybridMultilevel"/>
    <w:lvl w:ilvl="0" w:tplc="731707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153005">
    <w:abstractNumId w:val="18153005"/>
  </w:num>
  <w:num w:numId="18153006">
    <w:abstractNumId w:val="181530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3714880" Type="http://schemas.microsoft.com/office/2011/relationships/commentsExtended" Target="commentsExtended.xml"/><Relationship Id="rId563167179" Type="http://schemas.microsoft.com/office/2011/relationships/people" Target="people.xml"/><Relationship Id="rId5908669801b2a8202" Type="http://schemas.openxmlformats.org/officeDocument/2006/relationships/hyperlink" Target="https://gd.eppo.int/taxon/HETDPA/" TargetMode="External"/><Relationship Id="rId6908669801b2a8359" Type="http://schemas.openxmlformats.org/officeDocument/2006/relationships/hyperlink" Target="https://gd.eppo.int/taxon/HETDPA/categorization" TargetMode="External"/><Relationship Id="rId2886669801b2b65d1" Type="http://schemas.openxmlformats.org/officeDocument/2006/relationships/hyperlink" Target="https://gd.eppo.int/taxon/HETDPA/photos" TargetMode="External"/><Relationship Id="rId3705669801b2c9067" Type="http://schemas.openxmlformats.org/officeDocument/2006/relationships/hyperlink" Target="https://doi.org/10.2903/j.efsa.2012.2644" TargetMode="External"/><Relationship Id="rId6362669801b2c90ee" Type="http://schemas.openxmlformats.org/officeDocument/2006/relationships/hyperlink" Target="https://doi.org/10.2903/sp.efsa.2019.EN-1566" TargetMode="External"/><Relationship Id="rId5195669801b2c9129" Type="http://schemas.openxmlformats.org/officeDocument/2006/relationships/hyperlink" Target="https://doi.org/10.2903/sp.efsa.2020.EN-1874" TargetMode="External"/><Relationship Id="rId9441669801b2c95d0" Type="http://schemas.openxmlformats.org/officeDocument/2006/relationships/hyperlink" Target="https://eur-lex.europa.eu/legal-content/EN/ALL/?uri=CELEX:32007L0033" TargetMode="External"/><Relationship Id="rId9373669801b2c993d" Type="http://schemas.openxmlformats.org/officeDocument/2006/relationships/hyperlink" Target="https://edepot.wur.nl/517931" TargetMode="External"/><Relationship Id="rId1029669801b2ca193" Type="http://schemas.openxmlformats.org/officeDocument/2006/relationships/hyperlink" Target="https://gd.eppo.int" TargetMode="External"/><Relationship Id="rId3909669801b2ca309" Type="http://schemas.openxmlformats.org/officeDocument/2006/relationships/hyperlink" Target="https://doi.org/10.1111/j.1365-2338.1978.tb02785.x" TargetMode="External"/><Relationship Id="rId3993669801b2a8c8a" Type="http://schemas.openxmlformats.org/officeDocument/2006/relationships/image" Target="media/imgrId3993669801b2a8c8a.jpg"/><Relationship Id="rId9675669801b2b7b9c" Type="http://schemas.openxmlformats.org/officeDocument/2006/relationships/image" Target="media/imgrId9675669801b2b7b9c.jpg"/><Relationship Id="rId1202669801b2ca371" Type="http://schemas.openxmlformats.org/officeDocument/2006/relationships/image" Target="media/imgrId1202669801b2ca37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