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sosnowskyi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sosnowskyi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Sosnowsky's hogweed</w:t>
            </w:r>
            <w:hyperlink r:id="rId653169f5afa83b4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23269f5afa83b5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295583" name="name371769f5afa83bc9d" descr="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6.jpg"/>
                          <pic:cNvPicPr/>
                        </pic:nvPicPr>
                        <pic:blipFill>
                          <a:blip r:embed="rId523169f5afa83bc9b" cstate="print"/>
                          <a:stretch>
                            <a:fillRect/>
                          </a:stretch>
                        </pic:blipFill>
                        <pic:spPr>
                          <a:xfrm>
                            <a:off x="0" y="0"/>
                            <a:ext cx="2160000" cy="1281600"/>
                          </a:xfrm>
                          <a:prstGeom prst="rect">
                            <a:avLst/>
                          </a:prstGeom>
                          <a:ln w="0">
                            <a:noFill/>
                          </a:ln>
                        </pic:spPr>
                      </pic:pic>
                    </a:graphicData>
                  </a:graphic>
                </wp:inline>
              </w:drawing>
            </w:r>
            <w:hyperlink r:id="rId544369f5afa83be4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was only described in 1944, so, until then, plants of this species were recorded as some of the previously described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These include</w:t>
      </w:r>
      <w:r>
        <w:rPr>
          <w:rFonts w:ascii="Calibri" w:hAnsi="Calibri" w:eastAsia="Calibri" w:cs="Calibri"/>
          <w:i/>
          <w:iCs/>
          <w:color w:val="000000"/>
          <w:sz w:val="22"/>
          <w:szCs w:val="22"/>
        </w:rPr>
        <w:t xml:space="preserve"> H. pubescens</w:t>
      </w:r>
      <w:r>
        <w:rPr>
          <w:rFonts w:ascii="Calibri" w:hAnsi="Calibri" w:eastAsia="Calibri" w:cs="Calibri"/>
          <w:color w:val="000000"/>
          <w:sz w:val="22"/>
          <w:szCs w:val="22"/>
        </w:rPr>
        <w:t xml:space="preserve"> (described in 1819 from Crimea and Eastern Greater Caucasus, now considered as endemic of Crimea, Ukraine), </w:t>
      </w:r>
      <w:r>
        <w:rPr>
          <w:rFonts w:ascii="Calibri" w:hAnsi="Calibri" w:eastAsia="Calibri" w:cs="Calibri"/>
          <w:i/>
          <w:iCs/>
          <w:color w:val="000000"/>
          <w:sz w:val="22"/>
          <w:szCs w:val="22"/>
        </w:rPr>
        <w:t xml:space="preserve">H. wilhelmsii</w:t>
      </w:r>
      <w:r>
        <w:rPr>
          <w:rFonts w:ascii="Calibri" w:hAnsi="Calibri" w:eastAsia="Calibri" w:cs="Calibri"/>
          <w:color w:val="000000"/>
          <w:sz w:val="22"/>
          <w:szCs w:val="22"/>
        </w:rPr>
        <w:t xml:space="preserve"> (described in 1841 from Georgia) or</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(described in 1895 from Western Greater Caucasus) (Jahodova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The plants naturalized in the Western European countries have generally been known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without consideration of the possibility that</w:t>
      </w:r>
      <w:r>
        <w:rPr>
          <w:rFonts w:ascii="Calibri" w:hAnsi="Calibri" w:eastAsia="Calibri" w:cs="Calibri"/>
          <w:i/>
          <w:iCs/>
          <w:color w:val="000000"/>
          <w:sz w:val="22"/>
          <w:szCs w:val="22"/>
        </w:rPr>
        <w:t xml:space="preserve"> H. sosnowskyi</w:t>
      </w:r>
      <w:r>
        <w:rPr>
          <w:rFonts w:ascii="Calibri" w:hAnsi="Calibri" w:eastAsia="Calibri" w:cs="Calibri"/>
          <w:color w:val="000000"/>
          <w:sz w:val="22"/>
          <w:szCs w:val="22"/>
        </w:rPr>
        <w:t xml:space="preserve"> or another invasive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 (e.g.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Fischer) might also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w:t>
      </w:r>
      <w:r>
        <w:rPr>
          <w:rFonts w:ascii="Calibri" w:hAnsi="Calibri" w:eastAsia="Calibri" w:cs="Calibri"/>
          <w:i/>
          <w:iCs/>
          <w:color w:val="000000"/>
          <w:sz w:val="22"/>
          <w:szCs w:val="22"/>
        </w:rPr>
        <w:t xml:space="preserve">i</w:t>
      </w:r>
      <w:r>
        <w:rPr>
          <w:rFonts w:ascii="Calibri" w:hAnsi="Calibri" w:eastAsia="Calibri" w:cs="Calibri"/>
          <w:color w:val="000000"/>
          <w:sz w:val="22"/>
          <w:szCs w:val="22"/>
        </w:rPr>
        <w:t xml:space="preserve"> has been introduced as an agricultural crop and has spread rapidly, infesting grasslands, forests, wetlands, riverbanks⁄ 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native to the Eastern and Central Caucasus (first described from Georgia), Central, Eastern and South-Western Transcaucasia and North-East Anatolia in Türkiye. It was first introduced to Central and Northern Russia in 1947 as a highly productive fodder crop for livestock. Later, it was introduced to other countries such as Belarus, Poland, Ukraine, the Baltic countries and the eastern part of Germany. In Germany, nowadays it is recorded as absent. Heracleum sosnowskyi started to spread very rapidly at the end of the 1980s as agricultural production systems and markets changed. In Russia, H. sosnowskyi has been hybridized in breeding programmes, with various other Heracleum spp. from different parts of the former USSR. Such hybrids may also have been naturalized. In 2008, the Latvian NPPO detected 7956 ha of territories invaded by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It is also reported from a restricted area in the Czech Republic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Finland (Kabuce, 2006). Taxonomic uncertainty has resulted in some countries overlapping the distribution of H</w:t>
      </w:r>
      <w:r>
        <w:rPr>
          <w:rFonts w:ascii="Calibri" w:hAnsi="Calibri" w:eastAsia="Calibri" w:cs="Calibri"/>
          <w:i/>
          <w:iCs/>
          <w:color w:val="000000"/>
          <w:sz w:val="22"/>
          <w:szCs w:val="22"/>
        </w:rPr>
        <w:t xml:space="preserve">.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for example in Poland and Hungary. See, for example, Global Biodiversity Information Facility and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where the localities of all tall invasive hogweeds show overlapping patterns, indicating uncertain taxonomic differentiation.</w:t>
      </w:r>
    </w:p>
    <w:p>
      <w:r>
        <w:drawing>
          <wp:inline distT="0" distB="0" distL="0" distR="0">
            <wp:extent cx="6120000" cy="3067200"/>
            <wp:docPr id="83822116" name="name790369f5afa83d0e6" descr="HER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SO_distribution_map.jpg"/>
                    <pic:cNvPicPr/>
                  </pic:nvPicPr>
                  <pic:blipFill>
                    <a:blip r:embed="rId314169f5afa83d0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Bulgaria, Denmark, Estonia, Finland, Georgia, Hungary, Latvia, Lithuania, Poland, Romania, Russian Federation (Central Russia, Northern Russia, Southern Russia), Serbia, Türkiye, Ukraine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an herbaceous, usually monocarpic (flowering only once in a lifetime), seed-propagated herb living usually between 3 and 6 years (Tkachenko, 1989).  Seeds of the three species are illustrated in Figure </w:t>
      </w:r>
      <w:hyperlink r:id="rId309669f5afa83d3c7"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left"/>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can easily be confused with H. mantegazzianum. Plants have a thick taproot and are usually smaller than those of</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since they are up to 3 m tall instead of 5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distinguishable by having less divided leaves, the leaves of mature plants being divided to a varying extent, either into three approximately equal parts, which may themselves be similarly divided, or into more than three leaflets arranged in rows along the central rachis (pinnate). Outer petals are radiate, 9–10 mm long, while those of H. mantegazzianum are 12 mm long. The fine hirsute indumentum of the rays of the umbel is also characteristic of this species. Each compound umbel has 30–150 rays (Nielsen et al., 2005) and only short hairs. Fruits are oval to elliptical, broadly winged and comprise a pair of mericarps, which separate from each other before being shed, each containing a seed. Fruits from the terminal umbels tend to be smaller: some 10.5–16.5 mm long and 5.3–8.7 mm wide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Mature fruits are brown with swollen brown oil canals ¾ of the length of the fruits. This is a distinctive character of the species.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in early spring after morphophysiological dormancy is broken by the cold and wet conditions of autumn and winter. Autumn germination under favourable conditions may also be possible (though not observed), as seeds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require a shorter period of cold stratification to break dormancy (2 months or less)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Experiments in the Czech Republic have shown that the seed bank is very quickly depleted by rapid germination in spring and seeds do not survive for more than one season. However, studies in regions where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invasive are needed to verify this. Germination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seeds under laboratory conditions is very high (71%–94% in different temperature regimes)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produces from 15 000 to 20 000 seeds, weighing ca 12–14 mg, and even winged, the seed usually falls within a few metres from the mother plant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climatic conditions of the Leningrad Region (Russia), about 50%–60% of seeds germinated after 60- to 70-day stratification, up to 12% in the second and third years after their sowing, and only a small fraction after 20- to 30-day stratification (Chadin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Stem leaves are compound leaves with long petioles and three to five divided leaflets. Leaf blades are 30–150 cm long and 30–120 cm wide. Umbels are numerous (usually 5–6, up to 10); the central umbel is the largest (up to 40 cm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occurs from June to August. As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flowers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insect pollinated, visited by a wide range of insects, including a number of Hymenoptera, Diptera and Coleoptera. The plant is reported to live up to 6 years when planted for biomass and silage production. Plants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usually flower at 2–6 years (Dalke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majority of seeds (98.2%) are distributed in the upper soil layer of 0–5 cm, with little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are dispersed locally near the parent plants and over longer distances by watercourses. When the plant is established, its large size, fast growth and voluminous green mass suppress other plant species, so that it forms a single-species stand.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has been introduced as an agricultural crop and has spread rapidly, invading grasslands, forests, wetlands, riverbanks/canal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develops in fresh and slightly moist, neutral soils, rich in nutrients, in the pH range 6.3–7.0.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communities have developed in artificial and seminatural habitats over the last 20 years. They are nitrophilous, and their expansion is stimulated by eutrophication of the environment (Laivins &amp; Gavrilova, 2003).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a light-demanding plant, which cannot tolerate shade in the first growth stages (Oboļeviča, 2001). Nevertheless, it is considered more shade-tolerant than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associated with areas with warm to hot wet summers and cool wet winters. It is considered to be more suited to continental climates and is not adapted to drier conditions. It is winter hardy down to −25°C. The new shoots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rather cold-resistant and can survive −4°C to −7°C. It is found that starting from the second year, they can survive up to −25°C, and under a snow cover, even down to −45°C (Oboļeviča, 2001). Seeds germinate in early spring (but not during summer) and require a period of cold stratification for breaking dormancy (&lt;2 months).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easily colonizes anthropogenic and seminatural habitats because they feature open patches of disturbed soil required for the germination of its seeds. It relatively easily penetrates into natural habitats that include eroded areas, ravines and anthills not covered by plants. It rarely invades the communities with a dense, intact sod layer (Arepieva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has been cultivated for silage, biomass production and honey production in Russia and the Baltic States. Average yield of green matter reached 50–100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the third year of growing. Honey yield per plant was theoretically 12.7 g from one plant or 270 kg h 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Russia, two cultivars were grown: ‘Uspekh’ and ‘Severzhanin’.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b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(1050000 EUR), nature reserves (1170000 EUR), road management (2340000 EUR), municipal management (2100000 EUR) and district management (5600000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445269f5afa83ee8a"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on the EPPO A2 list of pests recommended for regulation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Kabuce N (2006) NOBANIS – Invasive Alien Species Fact Sheet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Oboļeviča D (2001) Hogweed and its distribution in Latvia.</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404769f5afa83fe4a"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286069f5afa83ff44"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298869f5afa84031b"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496969f5afa840735"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254769f5afa840943"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EPPO datasheets on pests recommended for regulation. Available online. </w:t>
      </w:r>
      <w:hyperlink r:id="rId917769f5afa840a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568269f5afa840a5b"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146969f5afa840b19"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341869f5afa840bcd"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82615">
    <w:multiLevelType w:val="hybridMultilevel"/>
    <w:lvl w:ilvl="0" w:tplc="43399612">
      <w:start w:val="1"/>
      <w:numFmt w:val="decimal"/>
      <w:lvlText w:val="%1."/>
      <w:lvlJc w:val="left"/>
      <w:pPr>
        <w:ind w:left="720" w:hanging="360"/>
      </w:pPr>
    </w:lvl>
    <w:lvl w:ilvl="1" w:tplc="43399612" w:tentative="1">
      <w:start w:val="1"/>
      <w:numFmt w:val="lowerLetter"/>
      <w:lvlText w:val="%2."/>
      <w:lvlJc w:val="left"/>
      <w:pPr>
        <w:ind w:left="1440" w:hanging="360"/>
      </w:pPr>
    </w:lvl>
    <w:lvl w:ilvl="2" w:tplc="43399612" w:tentative="1">
      <w:start w:val="1"/>
      <w:numFmt w:val="lowerRoman"/>
      <w:lvlText w:val="%3."/>
      <w:lvlJc w:val="right"/>
      <w:pPr>
        <w:ind w:left="2160" w:hanging="180"/>
      </w:pPr>
    </w:lvl>
    <w:lvl w:ilvl="3" w:tplc="43399612" w:tentative="1">
      <w:start w:val="1"/>
      <w:numFmt w:val="decimal"/>
      <w:lvlText w:val="%4."/>
      <w:lvlJc w:val="left"/>
      <w:pPr>
        <w:ind w:left="2880" w:hanging="360"/>
      </w:pPr>
    </w:lvl>
    <w:lvl w:ilvl="4" w:tplc="43399612" w:tentative="1">
      <w:start w:val="1"/>
      <w:numFmt w:val="lowerLetter"/>
      <w:lvlText w:val="%5."/>
      <w:lvlJc w:val="left"/>
      <w:pPr>
        <w:ind w:left="3600" w:hanging="360"/>
      </w:pPr>
    </w:lvl>
    <w:lvl w:ilvl="5" w:tplc="43399612" w:tentative="1">
      <w:start w:val="1"/>
      <w:numFmt w:val="lowerRoman"/>
      <w:lvlText w:val="%6."/>
      <w:lvlJc w:val="right"/>
      <w:pPr>
        <w:ind w:left="4320" w:hanging="180"/>
      </w:pPr>
    </w:lvl>
    <w:lvl w:ilvl="6" w:tplc="43399612" w:tentative="1">
      <w:start w:val="1"/>
      <w:numFmt w:val="decimal"/>
      <w:lvlText w:val="%7."/>
      <w:lvlJc w:val="left"/>
      <w:pPr>
        <w:ind w:left="5040" w:hanging="360"/>
      </w:pPr>
    </w:lvl>
    <w:lvl w:ilvl="7" w:tplc="43399612" w:tentative="1">
      <w:start w:val="1"/>
      <w:numFmt w:val="lowerLetter"/>
      <w:lvlText w:val="%8."/>
      <w:lvlJc w:val="left"/>
      <w:pPr>
        <w:ind w:left="5760" w:hanging="360"/>
      </w:pPr>
    </w:lvl>
    <w:lvl w:ilvl="8" w:tplc="43399612" w:tentative="1">
      <w:start w:val="1"/>
      <w:numFmt w:val="lowerRoman"/>
      <w:lvlText w:val="%9."/>
      <w:lvlJc w:val="right"/>
      <w:pPr>
        <w:ind w:left="6480" w:hanging="180"/>
      </w:pPr>
    </w:lvl>
  </w:abstractNum>
  <w:abstractNum w:abstractNumId="95582614">
    <w:multiLevelType w:val="hybridMultilevel"/>
    <w:lvl w:ilvl="0" w:tplc="399512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82614">
    <w:abstractNumId w:val="95582614"/>
  </w:num>
  <w:num w:numId="95582615">
    <w:abstractNumId w:val="955826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018361" Type="http://schemas.microsoft.com/office/2011/relationships/commentsExtended" Target="commentsExtended.xml"/><Relationship Id="rId439888601" Type="http://schemas.microsoft.com/office/2011/relationships/people" Target="people.xml"/><Relationship Id="rId653169f5afa83b4d0" Type="http://schemas.openxmlformats.org/officeDocument/2006/relationships/hyperlink" Target="https://gd.eppo.int/taxon/HERSO/" TargetMode="External"/><Relationship Id="rId523269f5afa83b552" Type="http://schemas.openxmlformats.org/officeDocument/2006/relationships/hyperlink" Target="https://gd.eppo.int/taxon/HERSO/categorization" TargetMode="External"/><Relationship Id="rId544369f5afa83be43" Type="http://schemas.openxmlformats.org/officeDocument/2006/relationships/hyperlink" Target="https://gd.eppo.int/taxon/HERSO/photos" TargetMode="External"/><Relationship Id="rId309669f5afa83d3c7" Type="http://schemas.openxmlformats.org/officeDocument/2006/relationships/hyperlink" Target="https://onlinelibrary.wiley.com/doi/10.1111/epp.70049#epp70049-fig-0001" TargetMode="External"/><Relationship Id="rId445269f5afa83ee8a" Type="http://schemas.openxmlformats.org/officeDocument/2006/relationships/hyperlink" Target="https://invaznidruhy.aopk.gov.cz/zasady-regulace" TargetMode="External"/><Relationship Id="rId404769f5afa83fe4a" Type="http://schemas.openxmlformats.org/officeDocument/2006/relationships/hyperlink" Target="https://circabc.europa.eu/sd/a/a174ceae-558c-4aa1-8437-e28cb310275d/TSSR-2016-003%20Heracleum%20mantegazzianum.pdf" TargetMode="External"/><Relationship Id="rId286069f5afa83ff44" Type="http://schemas.openxmlformats.org/officeDocument/2006/relationships/hyperlink" Target="https://doi.org/10.1111/j.1365-2699.2011.02677.x" TargetMode="External"/><Relationship Id="rId298869f5afa84031b" Type="http://schemas.openxmlformats.org/officeDocument/2006/relationships/hyperlink" Target="https://doi.org/10.3897/neobiota.31.8103" TargetMode="External"/><Relationship Id="rId496969f5afa840735" Type="http://schemas.openxmlformats.org/officeDocument/2006/relationships/hyperlink" Target="https://plants.usda.gov/plant-profile/HEMA17/noxious-invasive" TargetMode="External"/><Relationship Id="rId254769f5afa840943" Type="http://schemas.openxmlformats.org/officeDocument/2006/relationships/hyperlink" Target="https://doi.org/10.1134/S2075111722020138" TargetMode="External"/><Relationship Id="rId917769f5afa840a04" Type="http://schemas.openxmlformats.org/officeDocument/2006/relationships/hyperlink" Target="https://gd.eppo.int" TargetMode="External"/><Relationship Id="rId568269f5afa840a5b" Type="http://schemas.openxmlformats.org/officeDocument/2006/relationships/hyperlink" Target="https://gd.eppo.int/" TargetMode="External"/><Relationship Id="rId146969f5afa840b19" Type="http://schemas.openxmlformats.org/officeDocument/2006/relationships/hyperlink" Target="https://doi.org/10.1111/j.1365-2338.2009.02313.x" TargetMode="External"/><Relationship Id="rId341869f5afa840bcd" Type="http://schemas.openxmlformats.org/officeDocument/2006/relationships/hyperlink" Target="https://doi.org/10.1111/epp.70049" TargetMode="External"/><Relationship Id="rId523169f5afa83bc9b" Type="http://schemas.openxmlformats.org/officeDocument/2006/relationships/image" Target="media/imgrId523169f5afa83bc9b.jpg"/><Relationship Id="rId314169f5afa83d0e2" Type="http://schemas.openxmlformats.org/officeDocument/2006/relationships/image" Target="media/imgrId314169f5afa83d0e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