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persicum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persicum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Fischer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hyperlink r:id="rId887869f8ddfba58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11769f8ddfba58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HERPE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was described in 1841, and some subsequent identifications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were probably mistaken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Norwegian, Danish and Swedish floras, the plant has been called </w:t>
      </w:r>
      <w:r>
        <w:rPr>
          <w:rFonts w:ascii="Calibri" w:hAnsi="Calibri" w:eastAsia="Calibri" w:cs="Calibri"/>
          <w:i/>
          <w:iCs/>
          <w:color w:val="000000"/>
          <w:sz w:val="22"/>
          <w:szCs w:val="22"/>
        </w:rPr>
        <w:t xml:space="preserve">H. laciniatum</w:t>
      </w:r>
      <w:r>
        <w:rPr>
          <w:rFonts w:ascii="Calibri" w:hAnsi="Calibri" w:eastAsia="Calibri" w:cs="Calibri"/>
          <w:color w:val="000000"/>
          <w:sz w:val="22"/>
          <w:szCs w:val="22"/>
        </w:rPr>
        <w:t xml:space="preserve">, but recent morphological and genetic analyses have shown that it is synonymous with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 Lars Fröberg, unpublished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is native to Türkiye, Iran and Iraq (EPPO, 2020). Its non-native distribution is restricted to northern countries of the EPPO region (e.g. Denmark, Finland, Norway, Sweden). Genetic analyses of plants from the native and introduced range show that European populations originated from different sources (Falahati-Anbaran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80034449" name="name506069f8ddfba6ce7" descr="HER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PE_distribution_map.jpg"/>
                    <pic:cNvPicPr/>
                  </pic:nvPicPr>
                  <pic:blipFill>
                    <a:blip r:embed="rId730669f8ddfba6c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Denmark, Finland, Norway, Sweden, Türkiye,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0" w:after="0" w:line="240" w:lineRule="auto"/>
        <w:ind w:left="0" w:right="0"/>
        <w:jc w:val="left"/>
      </w:pP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is a herbaceous, polycarpic (it blooms several times during its life) and perennial seed-propagated herb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the three species are illustrated in Figure 1.</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both"/>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can easily be confused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are most often 1–2 m in height, especially for newly established plants, but can reach 3–4 m. Plants often have more than one stem. Stems are purple, 1.5–2 cm thick, with large even areas of purple to purple-red colour at the base. Leaves are more divided than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They may be up to 2 m in length and deeply incised with very sharp points, with 2–3 pairs of lateral leaf segments and less deeply serrate. The whole plant smells of aniseed.</w:t>
      </w:r>
    </w:p>
    <w:p>
      <w:pPr>
        <w:widowControl w:val="on"/>
        <w:pBdr/>
        <w:spacing w:before="220" w:after="220" w:line="240" w:lineRule="auto"/>
        <w:ind w:left="0" w:right="0"/>
        <w:jc w:val="both"/>
      </w:pPr>
      <w:r>
        <w:rPr>
          <w:rFonts w:ascii="Calibri" w:hAnsi="Calibri" w:eastAsia="Calibri" w:cs="Calibri"/>
          <w:color w:val="000000"/>
          <w:sz w:val="22"/>
          <w:szCs w:val="22"/>
        </w:rPr>
        <w:t xml:space="preserve">Umbels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are more convex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which has flat umbels. Whereas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especially large umbels with side umbels as well developed as the main umbel, and all umbels develop fruit, the side umbels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are rather small compared with the main umbel and often do not develop fruit. According to Lars Fröberg (Fremstad &amp; Elven, 2006), another characteristic, which may be used in distinguishing the two species, is the shape and placement of hairs on the two plants.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transparent, very curly hairs that stand out at 45 degrees from the stem.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has somewhat stiffer and whiter hairs, which stand straight out from the stem.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vary according to the environmental conditions in which it grows, making identification difficult. Compared to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there is a lack of studies on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(but see e.g.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Falahati-Anbaran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has a growth and development similar to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Pollination by insects is common, but self-pollination also occurs. The species is spread by seeds and does not reproduce vegetatively. Because the side umbels of the plant are often poorly developed and do not always produce ripe fruits, the potential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for seed production is thought to be inferior to that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leaves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wilt in the autumn, but the plant overwinters with buds below the soil surface. The plant needs one or more years to build up a nutrient reserve in its root system to be able to flower.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0" w:after="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colonizes the same habitats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areas strongly influenced by anthropogenic factors, urban areas (along roadsides and railroads), grasslands and wetlands (Klingenstein, 2006). It is common in meadows, pasturelands or agricultural fields that are no longer in use and in ruderal areas or wastelands, as well as in riparian habitats, growing along streams and rivers. It has been reported growing on mountainsides and on mountain slopes and in cracks where the soil layer is quite thin, but it is not known whether it will flower in this habitat. It has also been found in coastal habitats (beaches) where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not been found. In Tromsø, Norway,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has been found growing among the seaweed vegetation on beaches. Its presence on unpopulated islands indicates that it may be spread with seawater (Alm, 1988; Alm &amp; Jensen, 1993). In Norway it is becoming more common, growing at the edge of forests and has been reported as growing in birch forest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probably because of the high light conditions of this ecosystem (Fremstad &amp; Elven, 2006). It does not flower in the forest but survives for a long time in the shade under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has also been used as an ornamental.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(1 050 000 EUR), nature reserves (1 170 000 EUR), road management (2 340 000 EUR), municipal management (2 100 000 EUR) and district management (5 600 000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612269f8ddfba87c8"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w:t>
      </w:r>
      <w:r>
        <w:rPr>
          <w:rFonts w:ascii="Calibri" w:hAnsi="Calibri" w:eastAsia="Calibri" w:cs="Calibri"/>
          <w:i/>
          <w:iCs/>
          <w:color w:val="000000"/>
          <w:sz w:val="22"/>
          <w:szCs w:val="22"/>
        </w:rPr>
        <w:t xml:space="preserve">persicum</w:t>
      </w:r>
      <w:r>
        <w:rPr>
          <w:rFonts w:ascii="Calibri" w:hAnsi="Calibri" w:eastAsia="Calibri" w:cs="Calibri"/>
          <w:color w:val="000000"/>
          <w:sz w:val="22"/>
          <w:szCs w:val="22"/>
        </w:rPr>
        <w:t xml:space="preserve"> is on the EPPO A2 list of pests recommended for regulation and and is listed as (EU) species of Union concern.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367069f8ddfba9420"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847269f8ddfba9510"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304169f8ddfba98d5"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132069f8ddfba9cdd"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227169f8ddfba9f11"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EPPO datasheets on pests recommended for regulation. Available online. </w:t>
      </w:r>
      <w:hyperlink r:id="rId339869f8ddfbaa0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937069f8ddfbaa0a9"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730169f8ddfbaa169"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522469f8ddfbaa21d"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28052">
    <w:multiLevelType w:val="hybridMultilevel"/>
    <w:lvl w:ilvl="0" w:tplc="67442066">
      <w:start w:val="1"/>
      <w:numFmt w:val="decimal"/>
      <w:lvlText w:val="%1."/>
      <w:lvlJc w:val="left"/>
      <w:pPr>
        <w:ind w:left="720" w:hanging="360"/>
      </w:pPr>
    </w:lvl>
    <w:lvl w:ilvl="1" w:tplc="67442066" w:tentative="1">
      <w:start w:val="1"/>
      <w:numFmt w:val="lowerLetter"/>
      <w:lvlText w:val="%2."/>
      <w:lvlJc w:val="left"/>
      <w:pPr>
        <w:ind w:left="1440" w:hanging="360"/>
      </w:pPr>
    </w:lvl>
    <w:lvl w:ilvl="2" w:tplc="67442066" w:tentative="1">
      <w:start w:val="1"/>
      <w:numFmt w:val="lowerRoman"/>
      <w:lvlText w:val="%3."/>
      <w:lvlJc w:val="right"/>
      <w:pPr>
        <w:ind w:left="2160" w:hanging="180"/>
      </w:pPr>
    </w:lvl>
    <w:lvl w:ilvl="3" w:tplc="67442066" w:tentative="1">
      <w:start w:val="1"/>
      <w:numFmt w:val="decimal"/>
      <w:lvlText w:val="%4."/>
      <w:lvlJc w:val="left"/>
      <w:pPr>
        <w:ind w:left="2880" w:hanging="360"/>
      </w:pPr>
    </w:lvl>
    <w:lvl w:ilvl="4" w:tplc="67442066" w:tentative="1">
      <w:start w:val="1"/>
      <w:numFmt w:val="lowerLetter"/>
      <w:lvlText w:val="%5."/>
      <w:lvlJc w:val="left"/>
      <w:pPr>
        <w:ind w:left="3600" w:hanging="360"/>
      </w:pPr>
    </w:lvl>
    <w:lvl w:ilvl="5" w:tplc="67442066" w:tentative="1">
      <w:start w:val="1"/>
      <w:numFmt w:val="lowerRoman"/>
      <w:lvlText w:val="%6."/>
      <w:lvlJc w:val="right"/>
      <w:pPr>
        <w:ind w:left="4320" w:hanging="180"/>
      </w:pPr>
    </w:lvl>
    <w:lvl w:ilvl="6" w:tplc="67442066" w:tentative="1">
      <w:start w:val="1"/>
      <w:numFmt w:val="decimal"/>
      <w:lvlText w:val="%7."/>
      <w:lvlJc w:val="left"/>
      <w:pPr>
        <w:ind w:left="5040" w:hanging="360"/>
      </w:pPr>
    </w:lvl>
    <w:lvl w:ilvl="7" w:tplc="67442066" w:tentative="1">
      <w:start w:val="1"/>
      <w:numFmt w:val="lowerLetter"/>
      <w:lvlText w:val="%8."/>
      <w:lvlJc w:val="left"/>
      <w:pPr>
        <w:ind w:left="5760" w:hanging="360"/>
      </w:pPr>
    </w:lvl>
    <w:lvl w:ilvl="8" w:tplc="67442066" w:tentative="1">
      <w:start w:val="1"/>
      <w:numFmt w:val="lowerRoman"/>
      <w:lvlText w:val="%9."/>
      <w:lvlJc w:val="right"/>
      <w:pPr>
        <w:ind w:left="6480" w:hanging="180"/>
      </w:pPr>
    </w:lvl>
  </w:abstractNum>
  <w:abstractNum w:abstractNumId="86428051">
    <w:multiLevelType w:val="hybridMultilevel"/>
    <w:lvl w:ilvl="0" w:tplc="218436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28051">
    <w:abstractNumId w:val="86428051"/>
  </w:num>
  <w:num w:numId="86428052">
    <w:abstractNumId w:val="864280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704400" Type="http://schemas.microsoft.com/office/2011/relationships/commentsExtended" Target="commentsExtended.xml"/><Relationship Id="rId464928892" Type="http://schemas.microsoft.com/office/2011/relationships/people" Target="people.xml"/><Relationship Id="rId887869f8ddfba5882" Type="http://schemas.openxmlformats.org/officeDocument/2006/relationships/hyperlink" Target="https://gd.eppo.int/taxon/HERPE/" TargetMode="External"/><Relationship Id="rId111769f8ddfba58ee" Type="http://schemas.openxmlformats.org/officeDocument/2006/relationships/hyperlink" Target="https://gd.eppo.int/taxon/HERPE/categorization" TargetMode="External"/><Relationship Id="rId612269f8ddfba87c8" Type="http://schemas.openxmlformats.org/officeDocument/2006/relationships/hyperlink" Target="https://invaznidruhy.aopk.gov.cz/zasady-regulace" TargetMode="External"/><Relationship Id="rId367069f8ddfba9420" Type="http://schemas.openxmlformats.org/officeDocument/2006/relationships/hyperlink" Target="https://circabc.europa.eu/sd/a/a174ceae-558c-4aa1-8437-e28cb310275d/TSSR-2016-003%20Heracleum%20mantegazzianum.pdf" TargetMode="External"/><Relationship Id="rId847269f8ddfba9510" Type="http://schemas.openxmlformats.org/officeDocument/2006/relationships/hyperlink" Target="https://doi.org/10.1111/j.1365-2699.2011.02677.x" TargetMode="External"/><Relationship Id="rId304169f8ddfba98d5" Type="http://schemas.openxmlformats.org/officeDocument/2006/relationships/hyperlink" Target="https://doi.org/10.3897/neobiota.31.8103" TargetMode="External"/><Relationship Id="rId132069f8ddfba9cdd" Type="http://schemas.openxmlformats.org/officeDocument/2006/relationships/hyperlink" Target="https://plants.usda.gov/plant-profile/HEMA17/noxious-invasive" TargetMode="External"/><Relationship Id="rId227169f8ddfba9f11" Type="http://schemas.openxmlformats.org/officeDocument/2006/relationships/hyperlink" Target="https://doi.org/10.1134/S2075111722020138" TargetMode="External"/><Relationship Id="rId339869f8ddfbaa03a" Type="http://schemas.openxmlformats.org/officeDocument/2006/relationships/hyperlink" Target="https://gd.eppo.int" TargetMode="External"/><Relationship Id="rId937069f8ddfbaa0a9" Type="http://schemas.openxmlformats.org/officeDocument/2006/relationships/hyperlink" Target="https://gd.eppo.int/" TargetMode="External"/><Relationship Id="rId730169f8ddfbaa169" Type="http://schemas.openxmlformats.org/officeDocument/2006/relationships/hyperlink" Target="https://doi.org/10.1111/j.1365-2338.2009.02313.x" TargetMode="External"/><Relationship Id="rId522469f8ddfbaa21d" Type="http://schemas.openxmlformats.org/officeDocument/2006/relationships/hyperlink" Target="https://doi.org/10.1111/epp.70049" TargetMode="External"/><Relationship Id="rId730669f8ddfba6ce4" Type="http://schemas.openxmlformats.org/officeDocument/2006/relationships/image" Target="media/imgrId730669f8ddfba6ce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