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mantegazzianum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mantegazzianum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Sommier &amp; Levier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circassicum</w:t>
            </w:r>
            <w:r>
              <w:rPr>
                <w:rFonts w:ascii="Calibri" w:hAnsi="Calibri" w:eastAsia="Calibri" w:cs="Calibri"/>
                <w:color w:val="000000"/>
                <w:position w:val="-3"/>
                <w:sz w:val="22"/>
                <w:szCs w:val="22"/>
              </w:rPr>
              <w:t xml:space="preserve"> Mandenova, </w:t>
            </w:r>
            <w:r>
              <w:rPr>
                <w:rFonts w:ascii="Calibri" w:hAnsi="Calibri" w:eastAsia="Calibri" w:cs="Calibri"/>
                <w:i/>
                <w:iCs/>
                <w:color w:val="000000"/>
                <w:position w:val="-3"/>
                <w:sz w:val="22"/>
                <w:szCs w:val="22"/>
              </w:rPr>
              <w:t xml:space="preserve">Heracleum giganteum</w:t>
            </w:r>
            <w:r>
              <w:rPr>
                <w:rFonts w:ascii="Calibri" w:hAnsi="Calibri" w:eastAsia="Calibri" w:cs="Calibri"/>
                <w:color w:val="000000"/>
                <w:position w:val="-3"/>
                <w:sz w:val="22"/>
                <w:szCs w:val="22"/>
              </w:rPr>
              <w:t xml:space="preserve"> Hornemann, </w:t>
            </w:r>
            <w:r>
              <w:rPr>
                <w:rFonts w:ascii="Calibri" w:hAnsi="Calibri" w:eastAsia="Calibri" w:cs="Calibri"/>
                <w:i/>
                <w:iCs/>
                <w:color w:val="000000"/>
                <w:position w:val="-3"/>
                <w:sz w:val="22"/>
                <w:szCs w:val="22"/>
              </w:rPr>
              <w:t xml:space="preserve">Heracleum grossheimii</w:t>
            </w:r>
            <w:r>
              <w:rPr>
                <w:rFonts w:ascii="Calibri" w:hAnsi="Calibri" w:eastAsia="Calibri" w:cs="Calibri"/>
                <w:color w:val="000000"/>
                <w:position w:val="-3"/>
                <w:sz w:val="22"/>
                <w:szCs w:val="22"/>
              </w:rPr>
              <w:t xml:space="preserve"> Mandenova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Siberian cow-parsnip, cartwheel flower, giant cow parsnip, giant hogweed (GB)</w:t>
            </w:r>
            <w:hyperlink r:id="rId15446acbe6535ea4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List of Invasive Alien Plants</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0746acbe6535eab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HERMZ</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809665" name="name54776acbe6535efe7" descr="10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46.jpg"/>
                          <pic:cNvPicPr/>
                        </pic:nvPicPr>
                        <pic:blipFill>
                          <a:blip r:embed="rId47166acbe6535efe6" cstate="print"/>
                          <a:stretch>
                            <a:fillRect/>
                          </a:stretch>
                        </pic:blipFill>
                        <pic:spPr>
                          <a:xfrm>
                            <a:off x="0" y="0"/>
                            <a:ext cx="2160000" cy="1281600"/>
                          </a:xfrm>
                          <a:prstGeom prst="rect">
                            <a:avLst/>
                          </a:prstGeom>
                          <a:ln w="0">
                            <a:noFill/>
                          </a:ln>
                        </pic:spPr>
                      </pic:pic>
                    </a:graphicData>
                  </a:graphic>
                </wp:inline>
              </w:drawing>
            </w:r>
            <w:hyperlink r:id="rId41766acbe6535f3f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and related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H. sosnowskyi, H. persicum</w:t>
      </w:r>
      <w:r>
        <w:rPr>
          <w:rFonts w:ascii="Calibri" w:hAnsi="Calibri" w:eastAsia="Calibri" w:cs="Calibri"/>
          <w:color w:val="000000"/>
          <w:sz w:val="22"/>
          <w:szCs w:val="22"/>
        </w:rPr>
        <w:t xml:space="preserve">) originate from the Caucasus region (one of two centres of diversity for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the other being China), and synonymy therefore depends on botanical explorations in that region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 The main sources of synonymy are: (i) historical – before the taxonomic description of a full range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plants were referred to by the names of those described first (beginning of the 19th century); (ii) modern – due to intensive taxonomic work by Russian botanists (in the 20th century), who generally accept a narrower species concept.</w:t>
      </w:r>
      <w:r>
        <w:rPr>
          <w:rFonts w:ascii="Calibri" w:hAnsi="Calibri" w:eastAsia="Calibri" w:cs="Calibri"/>
          <w:color w:val="000000"/>
          <w:sz w:val="22"/>
          <w:szCs w:val="22"/>
        </w:rPr>
        <w:br/>
        <w:t xml:space="preserve">Historical synonyms include: </w:t>
      </w:r>
      <w:r>
        <w:rPr>
          <w:rFonts w:ascii="Calibri" w:hAnsi="Calibri" w:eastAsia="Calibri" w:cs="Calibri"/>
          <w:i/>
          <w:iCs/>
          <w:color w:val="000000"/>
          <w:sz w:val="22"/>
          <w:szCs w:val="22"/>
        </w:rPr>
        <w:t xml:space="preserve">Heracleum speciosum</w:t>
      </w:r>
      <w:r>
        <w:rPr>
          <w:rFonts w:ascii="Calibri" w:hAnsi="Calibri" w:eastAsia="Calibri" w:cs="Calibri"/>
          <w:color w:val="000000"/>
          <w:sz w:val="22"/>
          <w:szCs w:val="22"/>
        </w:rPr>
        <w:t xml:space="preserve"> Weinmann, </w:t>
      </w:r>
      <w:r>
        <w:rPr>
          <w:rFonts w:ascii="Calibri" w:hAnsi="Calibri" w:eastAsia="Calibri" w:cs="Calibri"/>
          <w:i/>
          <w:iCs/>
          <w:color w:val="000000"/>
          <w:sz w:val="22"/>
          <w:szCs w:val="22"/>
        </w:rPr>
        <w:t xml:space="preserve">Spondylium pubescens</w:t>
      </w:r>
      <w:r>
        <w:rPr>
          <w:rFonts w:ascii="Calibri" w:hAnsi="Calibri" w:eastAsia="Calibri" w:cs="Calibri"/>
          <w:color w:val="000000"/>
          <w:sz w:val="22"/>
          <w:szCs w:val="22"/>
        </w:rPr>
        <w:t xml:space="preserve"> Hoffmann and </w:t>
      </w:r>
      <w:r>
        <w:rPr>
          <w:rFonts w:ascii="Calibri" w:hAnsi="Calibri" w:eastAsia="Calibri" w:cs="Calibri"/>
          <w:i/>
          <w:iCs/>
          <w:color w:val="000000"/>
          <w:sz w:val="22"/>
          <w:szCs w:val="22"/>
        </w:rPr>
        <w:t xml:space="preserve">Pastinaca pubescens</w:t>
      </w:r>
      <w:r>
        <w:rPr>
          <w:rFonts w:ascii="Calibri" w:hAnsi="Calibri" w:eastAsia="Calibri" w:cs="Calibri"/>
          <w:color w:val="000000"/>
          <w:sz w:val="22"/>
          <w:szCs w:val="22"/>
        </w:rPr>
        <w:t xml:space="preserve"> (Hoffmann) Calestani. These were early names that are no longer in taxonomic use and cannot be regarded as true synonyms. </w:t>
      </w:r>
      <w:r>
        <w:rPr>
          <w:rFonts w:ascii="Calibri" w:hAnsi="Calibri" w:eastAsia="Calibri" w:cs="Calibri"/>
          <w:i/>
          <w:iCs/>
          <w:color w:val="000000"/>
          <w:sz w:val="22"/>
          <w:szCs w:val="22"/>
        </w:rPr>
        <w:t xml:space="preserve">Heracleum pubescens</w:t>
      </w:r>
      <w:r>
        <w:rPr>
          <w:rFonts w:ascii="Calibri" w:hAnsi="Calibri" w:eastAsia="Calibri" w:cs="Calibri"/>
          <w:color w:val="000000"/>
          <w:sz w:val="22"/>
          <w:szCs w:val="22"/>
        </w:rPr>
        <w:t xml:space="preserve"> (Hoffmann) Marschall von Bieberstein was the first tall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to be described (in 1819), and many plants were later referred to as this species. Modern synonyms are quoted above (see ‘Other scientific names’). Other historical synonyms include </w:t>
      </w:r>
      <w:r>
        <w:rPr>
          <w:rFonts w:ascii="Calibri" w:hAnsi="Calibri" w:eastAsia="Calibri" w:cs="Calibri"/>
          <w:i/>
          <w:iCs/>
          <w:color w:val="000000"/>
          <w:sz w:val="22"/>
          <w:szCs w:val="22"/>
        </w:rPr>
        <w:t xml:space="preserve">Heracleum asperum</w:t>
      </w:r>
      <w:r>
        <w:rPr>
          <w:rFonts w:ascii="Calibri" w:hAnsi="Calibri" w:eastAsia="Calibri" w:cs="Calibri"/>
          <w:color w:val="000000"/>
          <w:sz w:val="22"/>
          <w:szCs w:val="22"/>
        </w:rPr>
        <w:t xml:space="preserve"> Marschall von Bieberstein, </w:t>
      </w:r>
      <w:r>
        <w:rPr>
          <w:rFonts w:ascii="Calibri" w:hAnsi="Calibri" w:eastAsia="Calibri" w:cs="Calibri"/>
          <w:i/>
          <w:iCs/>
          <w:color w:val="000000"/>
          <w:sz w:val="22"/>
          <w:szCs w:val="22"/>
        </w:rPr>
        <w:t xml:space="preserve">Heracleum caucasicum</w:t>
      </w:r>
      <w:r>
        <w:rPr>
          <w:rFonts w:ascii="Calibri" w:hAnsi="Calibri" w:eastAsia="Calibri" w:cs="Calibri"/>
          <w:color w:val="000000"/>
          <w:sz w:val="22"/>
          <w:szCs w:val="22"/>
        </w:rPr>
        <w:t xml:space="preserve"> Steven, </w:t>
      </w:r>
      <w:r>
        <w:rPr>
          <w:rFonts w:ascii="Calibri" w:hAnsi="Calibri" w:eastAsia="Calibri" w:cs="Calibri"/>
          <w:i/>
          <w:iCs/>
          <w:color w:val="000000"/>
          <w:sz w:val="22"/>
          <w:szCs w:val="22"/>
        </w:rPr>
        <w:t xml:space="preserve">Heracleum lehmannianum</w:t>
      </w:r>
      <w:r>
        <w:rPr>
          <w:rFonts w:ascii="Calibri" w:hAnsi="Calibri" w:eastAsia="Calibri" w:cs="Calibri"/>
          <w:color w:val="000000"/>
          <w:sz w:val="22"/>
          <w:szCs w:val="22"/>
        </w:rPr>
        <w:t xml:space="preserve"> Bunge, </w:t>
      </w:r>
      <w:r>
        <w:rPr>
          <w:rFonts w:ascii="Calibri" w:hAnsi="Calibri" w:eastAsia="Calibri" w:cs="Calibri"/>
          <w:i/>
          <w:iCs/>
          <w:color w:val="000000"/>
          <w:sz w:val="22"/>
          <w:szCs w:val="22"/>
        </w:rPr>
        <w:t xml:space="preserve">Heracleum panaces</w:t>
      </w:r>
      <w:r>
        <w:rPr>
          <w:rFonts w:ascii="Calibri" w:hAnsi="Calibri" w:eastAsia="Calibri" w:cs="Calibri"/>
          <w:color w:val="000000"/>
          <w:sz w:val="22"/>
          <w:szCs w:val="22"/>
        </w:rPr>
        <w:t xml:space="preserve"> Steven, </w:t>
      </w:r>
      <w:r>
        <w:rPr>
          <w:rFonts w:ascii="Calibri" w:hAnsi="Calibri" w:eastAsia="Calibri" w:cs="Calibri"/>
          <w:i/>
          <w:iCs/>
          <w:color w:val="000000"/>
          <w:sz w:val="22"/>
          <w:szCs w:val="22"/>
        </w:rPr>
        <w:t xml:space="preserve">Heracleum stevenii</w:t>
      </w:r>
      <w:r>
        <w:rPr>
          <w:rFonts w:ascii="Calibri" w:hAnsi="Calibri" w:eastAsia="Calibri" w:cs="Calibri"/>
          <w:color w:val="000000"/>
          <w:sz w:val="22"/>
          <w:szCs w:val="22"/>
        </w:rPr>
        <w:t xml:space="preserve"> Mandenova, </w:t>
      </w:r>
      <w:r>
        <w:rPr>
          <w:rFonts w:ascii="Calibri" w:hAnsi="Calibri" w:eastAsia="Calibri" w:cs="Calibri"/>
          <w:i/>
          <w:iCs/>
          <w:color w:val="000000"/>
          <w:sz w:val="22"/>
          <w:szCs w:val="22"/>
        </w:rPr>
        <w:t xml:space="preserve">Heracleum tauricum</w:t>
      </w:r>
      <w:r>
        <w:rPr>
          <w:rFonts w:ascii="Calibri" w:hAnsi="Calibri" w:eastAsia="Calibri" w:cs="Calibri"/>
          <w:color w:val="000000"/>
          <w:sz w:val="22"/>
          <w:szCs w:val="22"/>
        </w:rPr>
        <w:t xml:space="preserve"> Steven and </w:t>
      </w:r>
      <w:r>
        <w:rPr>
          <w:rFonts w:ascii="Calibri" w:hAnsi="Calibri" w:eastAsia="Calibri" w:cs="Calibri"/>
          <w:i/>
          <w:iCs/>
          <w:color w:val="000000"/>
          <w:sz w:val="22"/>
          <w:szCs w:val="22"/>
        </w:rPr>
        <w:t xml:space="preserve">Heracleum villosum</w:t>
      </w:r>
      <w:r>
        <w:rPr>
          <w:rFonts w:ascii="Calibri" w:hAnsi="Calibri" w:eastAsia="Calibri" w:cs="Calibri"/>
          <w:color w:val="000000"/>
          <w:sz w:val="22"/>
          <w:szCs w:val="22"/>
        </w:rPr>
        <w:t xml:space="preserve"> Sprengel. The names of two other species now naturalized in Europe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Fischer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Mandenova) are also historical synonyms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name </w:t>
      </w:r>
      <w:r>
        <w:rPr>
          <w:rFonts w:ascii="Calibri" w:hAnsi="Calibri" w:eastAsia="Calibri" w:cs="Calibri"/>
          <w:i/>
          <w:iCs/>
          <w:color w:val="000000"/>
          <w:sz w:val="22"/>
          <w:szCs w:val="22"/>
        </w:rPr>
        <w:t xml:space="preserve">Heracleum trachyloma</w:t>
      </w:r>
      <w:r>
        <w:rPr>
          <w:rFonts w:ascii="Calibri" w:hAnsi="Calibri" w:eastAsia="Calibri" w:cs="Calibri"/>
          <w:color w:val="000000"/>
          <w:sz w:val="22"/>
          <w:szCs w:val="22"/>
        </w:rPr>
        <w:t xml:space="preserve"> Fischer &amp; C.A. Meyer has recently been used for the most widespread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naturalized in the United Kingdom (Sell &amp; Murrell, 2009).</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native to the Western Greater Caucasus (Russia, Georgia). It is now becoming widely naturalized throughout Western Europe with a continuing increase in its distribution (Gudžinskas &amp; Kazlauskas, 2022; Pyšek, 1994). It is considered invasive in most of the countries where it has repeatedly been introduced as a garden ornamental since the 1800s, after which there has been natural spread along rivers (NAPIS, 2004; Neiland, 1986;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It was first introduced into the United Kingdom as a garden ornamental plant around 1817 and is now widely reported in European countries. It is also naturalized in Canada and the United States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Czech Republic, a front of populations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been observed advancing at an average rate of about 10 m per year, the total area increasing by some 1200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each year. The number of host localities has doubled every 14 years during the phase of rapid invasion (Pyšek </w:t>
      </w:r>
      <w:r>
        <w:rPr>
          <w:rFonts w:ascii="Calibri" w:hAnsi="Calibri" w:eastAsia="Calibri" w:cs="Calibri"/>
          <w:i/>
          <w:iCs/>
          <w:color w:val="000000"/>
          <w:sz w:val="22"/>
          <w:szCs w:val="22"/>
        </w:rPr>
        <w:t xml:space="preserve">et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2007).</w:t>
      </w:r>
    </w:p>
    <w:p>
      <w:r>
        <w:drawing>
          <wp:inline distT="0" distB="0" distL="0" distR="0">
            <wp:extent cx="6120000" cy="3067200"/>
            <wp:docPr id="96458778" name="name48176acbe653604b4" descr="HERMZ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MZ_distribution_map.jpg"/>
                    <pic:cNvPicPr/>
                  </pic:nvPicPr>
                  <pic:blipFill>
                    <a:blip r:embed="rId92906acbe653604b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Bosnia and Herzegovina, Bulgaria, Croatia, Czechia, Denmark, Estonia, Finland, France (mainland), Georgia, Germany, Hungary, Ireland, Italy (mainland), Latvia, Liechtenstein, Lithuania, Netherlands, Norway, Poland, Russian Federation (Southern Russia), Slovakia, Slovenia, Spain (mainland), Sweden, Switzerland, Ukraine, United Kingdom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New Brunswick, Newfoundland, Ontario), United States of America (District of Columbia, Maine, Massachusetts, Michigan, New York, North Carolina, Oregon, Pennsylvania, Washington)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(South Australia, Tasmania),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an herbaceous, usually monocarpic (flowering only once in a lifetime), seed-propagated herb living usually between 3 and 6 years (Tkachenko, 1989). </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the three species are illustrated in Figure </w:t>
      </w:r>
      <w:hyperlink r:id="rId25466acbe65360765" w:history="1">
        <w:r>
          <w:rPr>
            <w:rFonts w:ascii="Calibri" w:hAnsi="Calibri" w:eastAsia="Calibri" w:cs="Calibri"/>
            <w:b/>
            <w:bCs/>
            <w:color w:val="0000CC"/>
            <w:sz w:val="22"/>
            <w:szCs w:val="22"/>
            <w:u w:val="single"/>
          </w:rPr>
          <w:t xml:space="preserve">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both"/>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grows from a yellow branched root system 40–60 cm deep, which reaches 15 cm in diameter at the crown when mature. The species persists in the form of a vegetative rosette for several years and then flowers (after the plant has accumulated enough resources for reproduction) (Pergl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Perglová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report that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strictly monocarpic and dies after flowering, but there are some reports of polycarpy. The flowering stem can reach 5 m in height and 10 cm in diameter at the base. The stem is ridged, with purple blotches, and covered with pustulate bristles. Leaves are alternate, up to 3 m long and 1.7 m wide, ternately or pinnately lobed and coarsely toothed; upper leaves are progressively smaller, with the upper leaf surface glabrous and the underside pubescent, as is the petiole. The inflorescences are compound umbels of four orders. The main inflorescence (first-order) is a terminal compound umbel up to 80 cm in diameter with about 100 unequal hairy rays, each 10–40 cm long. There are also up to 8 satellite umbels, which usually overtop the main one, and others developing on branches below. The main umbel is hermaphrodite; the umbels of higher orders, maturing later, may be only male. Flowers, on pedicels 10–20 mm long, are white or pinkish with petals up to 12 mm long. Fruits are flattened and elliptical; 6–18 mm long by 4–10 mm wide; narrowly winged; with the larger fruits occurring on the main inflorescence and the smaller on satellites and branches, glabrous to villous; splitting into two mericarps; each with 3–5 elongated oil canals.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left"/>
      </w:pPr>
      <w:r>
        <w:rPr>
          <w:rFonts w:ascii="Calibri" w:hAnsi="Calibri" w:eastAsia="Calibri" w:cs="Calibri"/>
          <w:color w:val="000000"/>
          <w:sz w:val="22"/>
          <w:szCs w:val="22"/>
        </w:rPr>
        <w:t xml:space="preserve">Seeds germinate in early spring after dormancy is broken by the cold and wet conditions of autumn and winter, by temperatures within the range of 1–6°C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Germination occurs from January to March in the United Kingdom. Drying tends to delay eventual germination or results in a requirement for additional or longer stratification. Exposure to light is apparently not required for germination. After germination, a strong taproot is formed, which soon contracts to pull the crown downwards. In the Czech Republic, the first leaves of the rosette are usually visible at the end of February or in March (they often start growing under the snow cover). Stem elongation is apparent at the end of May, and the peak of flowering occurs at the end of June and beginning of July. The first true leaf develops in April, small and almost round, replaced in succession by steadily larger leaves, the fifth or sixth taking the adult form. The established vegetative plant has 3–4 functional leaves at any time.</w:t>
      </w:r>
    </w:p>
    <w:p>
      <w:pPr>
        <w:widowControl w:val="on"/>
        <w:pBdr/>
        <w:spacing w:before="220" w:after="220" w:line="240" w:lineRule="auto"/>
        <w:ind w:left="0" w:right="0"/>
        <w:jc w:val="left"/>
      </w:pPr>
      <w:r>
        <w:rPr>
          <w:rFonts w:ascii="Calibri" w:hAnsi="Calibri" w:eastAsia="Calibri" w:cs="Calibri"/>
          <w:color w:val="000000"/>
          <w:sz w:val="22"/>
          <w:szCs w:val="22"/>
        </w:rPr>
        <w:t xml:space="preserve">Flowering occurs mainly in the third year of growth, but under unfavourable conditions such as grazing, cutting or nutrient deficiency, flowering is postponed until sufficient reserves have been accumulated. In pastures, flowering may be delayed up to 7 years, which appears to be driven by the size of the crown and reserves in the root system. Individuals 12 years old have been reported from extremely dry sites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left"/>
      </w:pPr>
      <w:r>
        <w:rPr>
          <w:rFonts w:ascii="Calibri" w:hAnsi="Calibri" w:eastAsia="Calibri" w:cs="Calibri"/>
          <w:color w:val="000000"/>
          <w:sz w:val="22"/>
          <w:szCs w:val="22"/>
        </w:rPr>
        <w:t xml:space="preserve">The flowers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insect-pollinated and self-compatible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Self-pollination has been identified as advantageous in some colonizing species (Rejmánek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may lead to accelerated spread (Daehler, 1998).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unspecialized flowers that are pollinated by unspecialized insects; Coleoptera, Diptera, Hemiptera and Hymenoptera are the most frequent visitors (Grace &amp; Nelson, 1981).</w:t>
      </w:r>
    </w:p>
    <w:p>
      <w:pPr>
        <w:widowControl w:val="on"/>
        <w:pBdr/>
        <w:spacing w:before="220" w:after="220" w:line="240" w:lineRule="auto"/>
        <w:ind w:left="0" w:right="0"/>
        <w:jc w:val="left"/>
      </w:pPr>
      <w:r>
        <w:rPr>
          <w:rFonts w:ascii="Calibri" w:hAnsi="Calibri" w:eastAsia="Calibri" w:cs="Calibri"/>
          <w:color w:val="000000"/>
          <w:sz w:val="22"/>
          <w:szCs w:val="22"/>
        </w:rPr>
        <w:t xml:space="preserve">Most fruits ripen in the second half of July and start to be released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Propagation is exclusively by seeds, which are produced in very large numbers. Some 10 000–20 000 fruits are produced per plant in Europe, the maximum reaching some 50 000 fruits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Each mericarp contains one seed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Seeds may remain viable for up to 15 years when stored dry, but in the field this period is apparently much shorter – only 8.8% of seeds buried in the soil survived 1 year, 2.7% lasted 2 years and 1.2% remained viable and dormant after 3 years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Correspondingly, no viable seeds were found in a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site after 7 years of sheep grazing (Andersen &amp; Calov, 1996). The vertical distribution of seeds in the soil seed bank shows that 94% of the total seeds, including dead seeds, are in the upper 0.5 cm of the soil layer, with few in the deeper layers of 6–10 cm and 11–15 cm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the United Kingdom, the aboveground parts of the vegetative plants senesce and die back in late September/October.</w:t>
      </w:r>
    </w:p>
    <w:p>
      <w:pPr>
        <w:widowControl w:val="on"/>
        <w:pBdr/>
        <w:spacing w:before="220" w:after="220" w:line="240" w:lineRule="auto"/>
        <w:ind w:left="0" w:right="0"/>
        <w:jc w:val="left"/>
      </w:pPr>
      <w:r>
        <w:rPr>
          <w:rFonts w:ascii="Calibri" w:hAnsi="Calibri" w:eastAsia="Calibri" w:cs="Calibri"/>
          <w:color w:val="000000"/>
          <w:sz w:val="22"/>
          <w:szCs w:val="22"/>
        </w:rPr>
        <w:t xml:space="preserve">The chromosome number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2</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 22, as in most, if not all,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Hybridization is recorded with </w:t>
      </w:r>
      <w:r>
        <w:rPr>
          <w:rFonts w:ascii="Calibri" w:hAnsi="Calibri" w:eastAsia="Calibri" w:cs="Calibri"/>
          <w:i/>
          <w:iCs/>
          <w:color w:val="000000"/>
          <w:sz w:val="22"/>
          <w:szCs w:val="22"/>
        </w:rPr>
        <w:t xml:space="preserve">H. sphondyllium</w:t>
      </w:r>
      <w:r>
        <w:rPr>
          <w:rFonts w:ascii="Calibri" w:hAnsi="Calibri" w:eastAsia="Calibri" w:cs="Calibri"/>
          <w:color w:val="000000"/>
          <w:sz w:val="22"/>
          <w:szCs w:val="22"/>
        </w:rPr>
        <w:t xml:space="preserve"> in Germany and the United Kingdom (Ochsmann, 1996;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this is relatively infrequent even where the two species occur together, perhaps because of the lack of common insect visitors for pollination. The hybrids are virtually sterile.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native range is a plant of forest edges and glades, often found alongside streams, in mountain areas with annual rainfall of 1000–2000 mm, characterized by temperate, continental climates of hot summers and cold winters. According to a German study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most common habitat types are linear structures along traffic routes (roadsides, railway margins) and flowing waters. The species is a good colonizer of open and bare ground and benefits from human-induced habitat disturbances (i.e. a pioneer species). In the native and introduced range, it can be found forming dense populations. In the introduced range, a high proportion of stands include rivers, roads, railway banks, damp places, rubbish dumps and waste ground (Pyšek &amp; Prach, 1993; Pyšek &amp; Pyšek, 1995;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addition to rural habitats, the plant occurs in urban areas, gardens and parks (Pyšek &amp; Pyšek, 1995). Although it is generally a plant of open ground,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can establish and grow successfully in woodland, the edges of clearings and partially shaded habitats.</w:t>
      </w:r>
      <w:r>
        <w:rPr>
          <w:rFonts w:ascii="Calibri" w:hAnsi="Calibri" w:eastAsia="Calibri" w:cs="Calibri"/>
          <w:color w:val="000000"/>
          <w:sz w:val="22"/>
          <w:szCs w:val="22"/>
        </w:rPr>
        <w:br/>
        <w:t xml:space="preserve">Managed grasslands are marginal habitats, as the plant is not invasive as long as regular management is applied. Moreover,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found, according to their study in Germany, that sites invaded by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not subject to regular land use except for marginal occurrences in managed grasslands. Indeed, 71% of plots examined were disused, 17% were maintained by rather irregular mowing or removal of shrubs and trees, and only 12% of sites were under agricultural land use.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tends to be associated with lowland sites in the United Kingdom, mainly due to the sources of infestation being originally associated with gardens in the lowlands and not due to a climatic limitation (Willis &amp; Hulme, 2002). The seeds are shown to germinate at all elevations up to 600 m in north-east England. In the Czech Republic, the plants occur in a wide range of altitudes from 154 to 1249 m. In the native distribution range,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grows at altitudes up to 2200 m (Otte &amp; Thiele, 2007).</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by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Germany showed that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needs fairly high nutrient-rich soils and moisture levels for optimal growth. With respect to pH values,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was found in a wide range of conditions from acidic to alkaline. Extreme values were 4.0 and 8.5. In its native distribution range, it was found growing on soils of pH ranging from 5.34 to 6.68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unpublished data). Occurrence along riverbanks is usually associated with sandy or silty soils, but a wide range of soil textures is also tolerated from gravel to clay and highly organic or waterlogged soils. It is occasionally found close to the sea and apparently has some tolerance of salt spray. Growth of the species in semi-shade is fairly good, but it cannot grow in full shade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associated with areas with warm to hot summers and cool winters. It is not favoured by drier conditions. Hardiness is not specified, but the plant is probably hardy to zone 6 (−23°C to −18°C). It is associated with the vegetation zones: temperate deciduous forests and mixed conifer forests.</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of climatic effects on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its invaded range in the Czech Republic, conducted by Pyšek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showed that the distribution of the species was significantly affected by the January isotherm; the species was less represented in areas with a warmer January isotherm.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Surveys for natural enemies in the native area of the Caucasus were conducted in 2002 with the aim of identifying potential biological control agents (Seier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Many fungi were found associated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most species being new records for this host. However, none of the pests assessed, either insects or fungal pathogens, exhibited sufficient specificity to be considered safe for introduction into European countries (Cock &amp; Seier,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0" w:after="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been widely grown as an ornamental plant in Europe because of its striking appearance and usefulness in flower arranging. It is reported to be widely sown in Switzerland by bee-keepers to increase food resources for bees (Westbrooks,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as a forage plant was eventually abandoned in the Baltic States at the end of the 1980s as agricultural production systems and markets changed, partly because the aniseed-scented plants affected the flavour of the meat and milk of the animals to which they were fed, and partly because of the health risk to humans and cattle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(1 050 000 EUR), nature reserves (1 170 000 EUR), road management (2 340 000 EUR), municipal management (2 100 000 EUR) and district management (5 600 000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r>
        <w:rPr>
          <w:rFonts w:ascii="Calibri" w:hAnsi="Calibri" w:eastAsia="Calibri" w:cs="Calibri"/>
          <w:color w:val="000000"/>
          <w:sz w:val="22"/>
          <w:szCs w:val="22"/>
        </w:rPr>
        <w:b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color w:val="000000"/>
          <w:sz w:val="22"/>
          <w:szCs w:val="22"/>
        </w:rPr>
        <w:b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72416acbe65362307"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regulated in Estonia, Latvia and Lithuania. In Latvia, the legislation requires that landowners should control the plant and prevent further spread. In Sweden, there is control legislation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based on the Plant Protection Act.</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declared a noxious weed and is specifically regulated in six states (Alaska, Connecticut, Michigan, New York, North Carolina, Wisconsin (USDA-NRCS, 2026)).</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on the EPPO list of invasive alien plants and is listed as (EU)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26566acbe65362fe4"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36316acbe653630dc"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97216acbe653634b7"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55966acbe653638c2"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50096acbe65363aeb"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EPPO datasheets on pests recommended for regulation. Available online. </w:t>
      </w:r>
      <w:hyperlink r:id="rId89446acbe65363ba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21876acbe65363c00"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52826acbe65363cc0"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53126acbe65363d7f"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21854">
    <w:multiLevelType w:val="hybridMultilevel"/>
    <w:lvl w:ilvl="0" w:tplc="65736112">
      <w:start w:val="1"/>
      <w:numFmt w:val="decimal"/>
      <w:lvlText w:val="%1."/>
      <w:lvlJc w:val="left"/>
      <w:pPr>
        <w:ind w:left="720" w:hanging="360"/>
      </w:pPr>
    </w:lvl>
    <w:lvl w:ilvl="1" w:tplc="65736112" w:tentative="1">
      <w:start w:val="1"/>
      <w:numFmt w:val="lowerLetter"/>
      <w:lvlText w:val="%2."/>
      <w:lvlJc w:val="left"/>
      <w:pPr>
        <w:ind w:left="1440" w:hanging="360"/>
      </w:pPr>
    </w:lvl>
    <w:lvl w:ilvl="2" w:tplc="65736112" w:tentative="1">
      <w:start w:val="1"/>
      <w:numFmt w:val="lowerRoman"/>
      <w:lvlText w:val="%3."/>
      <w:lvlJc w:val="right"/>
      <w:pPr>
        <w:ind w:left="2160" w:hanging="180"/>
      </w:pPr>
    </w:lvl>
    <w:lvl w:ilvl="3" w:tplc="65736112" w:tentative="1">
      <w:start w:val="1"/>
      <w:numFmt w:val="decimal"/>
      <w:lvlText w:val="%4."/>
      <w:lvlJc w:val="left"/>
      <w:pPr>
        <w:ind w:left="2880" w:hanging="360"/>
      </w:pPr>
    </w:lvl>
    <w:lvl w:ilvl="4" w:tplc="65736112" w:tentative="1">
      <w:start w:val="1"/>
      <w:numFmt w:val="lowerLetter"/>
      <w:lvlText w:val="%5."/>
      <w:lvlJc w:val="left"/>
      <w:pPr>
        <w:ind w:left="3600" w:hanging="360"/>
      </w:pPr>
    </w:lvl>
    <w:lvl w:ilvl="5" w:tplc="65736112" w:tentative="1">
      <w:start w:val="1"/>
      <w:numFmt w:val="lowerRoman"/>
      <w:lvlText w:val="%6."/>
      <w:lvlJc w:val="right"/>
      <w:pPr>
        <w:ind w:left="4320" w:hanging="180"/>
      </w:pPr>
    </w:lvl>
    <w:lvl w:ilvl="6" w:tplc="65736112" w:tentative="1">
      <w:start w:val="1"/>
      <w:numFmt w:val="decimal"/>
      <w:lvlText w:val="%7."/>
      <w:lvlJc w:val="left"/>
      <w:pPr>
        <w:ind w:left="5040" w:hanging="360"/>
      </w:pPr>
    </w:lvl>
    <w:lvl w:ilvl="7" w:tplc="65736112" w:tentative="1">
      <w:start w:val="1"/>
      <w:numFmt w:val="lowerLetter"/>
      <w:lvlText w:val="%8."/>
      <w:lvlJc w:val="left"/>
      <w:pPr>
        <w:ind w:left="5760" w:hanging="360"/>
      </w:pPr>
    </w:lvl>
    <w:lvl w:ilvl="8" w:tplc="65736112" w:tentative="1">
      <w:start w:val="1"/>
      <w:numFmt w:val="lowerRoman"/>
      <w:lvlText w:val="%9."/>
      <w:lvlJc w:val="right"/>
      <w:pPr>
        <w:ind w:left="6480" w:hanging="180"/>
      </w:pPr>
    </w:lvl>
  </w:abstractNum>
  <w:abstractNum w:abstractNumId="51121853">
    <w:multiLevelType w:val="hybridMultilevel"/>
    <w:lvl w:ilvl="0" w:tplc="37689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21853">
    <w:abstractNumId w:val="51121853"/>
  </w:num>
  <w:num w:numId="51121854">
    <w:abstractNumId w:val="511218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167823" Type="http://schemas.microsoft.com/office/2011/relationships/commentsExtended" Target="commentsExtended.xml"/><Relationship Id="rId281126133" Type="http://schemas.microsoft.com/office/2011/relationships/people" Target="people.xml"/><Relationship Id="rId15446acbe6535ea46" Type="http://schemas.openxmlformats.org/officeDocument/2006/relationships/hyperlink" Target="https://gd.eppo.int/taxon/HERMZ/" TargetMode="External"/><Relationship Id="rId40746acbe6535eab1" Type="http://schemas.openxmlformats.org/officeDocument/2006/relationships/hyperlink" Target="https://gd.eppo.int/taxon/HERMZ/categorization" TargetMode="External"/><Relationship Id="rId41766acbe6535f3f3" Type="http://schemas.openxmlformats.org/officeDocument/2006/relationships/hyperlink" Target="https://gd.eppo.int/taxon/HERMZ/photos" TargetMode="External"/><Relationship Id="rId25466acbe65360765" Type="http://schemas.openxmlformats.org/officeDocument/2006/relationships/hyperlink" Target="https://onlinelibrary.wiley.com/doi/10.1111/epp.70049#epp70049-fig-0001" TargetMode="External"/><Relationship Id="rId72416acbe65362307" Type="http://schemas.openxmlformats.org/officeDocument/2006/relationships/hyperlink" Target="https://invaznidruhy.aopk.gov.cz/zasady-regulace" TargetMode="External"/><Relationship Id="rId26566acbe65362fe4" Type="http://schemas.openxmlformats.org/officeDocument/2006/relationships/hyperlink" Target="https://circabc.europa.eu/sd/a/a174ceae-558c-4aa1-8437-e28cb310275d/TSSR-2016-003%20Heracleum%20mantegazzianum.pdf" TargetMode="External"/><Relationship Id="rId36316acbe653630dc" Type="http://schemas.openxmlformats.org/officeDocument/2006/relationships/hyperlink" Target="https://doi.org/10.1111/j.1365-2699.2011.02677.x" TargetMode="External"/><Relationship Id="rId97216acbe653634b7" Type="http://schemas.openxmlformats.org/officeDocument/2006/relationships/hyperlink" Target="https://doi.org/10.3897/neobiota.31.8103" TargetMode="External"/><Relationship Id="rId55966acbe653638c2" Type="http://schemas.openxmlformats.org/officeDocument/2006/relationships/hyperlink" Target="https://plants.usda.gov/plant-profile/HEMA17/noxious-invasive" TargetMode="External"/><Relationship Id="rId50096acbe65363aeb" Type="http://schemas.openxmlformats.org/officeDocument/2006/relationships/hyperlink" Target="https://doi.org/10.1134/S2075111722020138" TargetMode="External"/><Relationship Id="rId89446acbe65363baa" Type="http://schemas.openxmlformats.org/officeDocument/2006/relationships/hyperlink" Target="https://gd.eppo.int" TargetMode="External"/><Relationship Id="rId21876acbe65363c00" Type="http://schemas.openxmlformats.org/officeDocument/2006/relationships/hyperlink" Target="https://gd.eppo.int/" TargetMode="External"/><Relationship Id="rId52826acbe65363cc0" Type="http://schemas.openxmlformats.org/officeDocument/2006/relationships/hyperlink" Target="https://doi.org/10.1111/j.1365-2338.2009.02313.x" TargetMode="External"/><Relationship Id="rId53126acbe65363d7f" Type="http://schemas.openxmlformats.org/officeDocument/2006/relationships/hyperlink" Target="https://doi.org/10.1111/epp.70049" TargetMode="External"/><Relationship Id="rId47166acbe6535efe6" Type="http://schemas.openxmlformats.org/officeDocument/2006/relationships/image" Target="media/imgrId47166acbe6535efe6.jpg"/><Relationship Id="rId92906acbe653604b1" Type="http://schemas.openxmlformats.org/officeDocument/2006/relationships/image" Target="media/imgrId92906acbe653604b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