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Orgyia leucostigma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2025-08-07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Orgyia leucostigma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(Smith)</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Lepidoptera: Erebidae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Hemerocampa leucostigma</w:t>
            </w:r>
            <w:r>
              <w:rPr>
                <w:rFonts w:ascii="Calibri" w:hAnsi="Calibri" w:eastAsia="Calibri" w:cs="Calibri"/>
                <w:color w:val="000000"/>
                <w:position w:val="-3"/>
                <w:sz w:val="22"/>
                <w:szCs w:val="22"/>
              </w:rPr>
              <w:t xml:space="preserve"> (Smith), </w:t>
            </w:r>
            <w:r>
              <w:rPr>
                <w:rFonts w:ascii="Calibri" w:hAnsi="Calibri" w:eastAsia="Calibri" w:cs="Calibri"/>
                <w:i/>
                <w:iCs/>
                <w:color w:val="000000"/>
                <w:position w:val="-3"/>
                <w:sz w:val="22"/>
                <w:szCs w:val="22"/>
              </w:rPr>
              <w:t xml:space="preserve">Phalaena leucostigma</w:t>
            </w:r>
            <w:r>
              <w:rPr>
                <w:rFonts w:ascii="Calibri" w:hAnsi="Calibri" w:eastAsia="Calibri" w:cs="Calibri"/>
                <w:color w:val="000000"/>
                <w:position w:val="-3"/>
                <w:sz w:val="22"/>
                <w:szCs w:val="22"/>
              </w:rPr>
              <w:t xml:space="preserve"> Smith</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white-marked tussock moth</w:t>
            </w:r>
            <w:hyperlink r:id="rId59356ac1b3d2c5fda"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 Alert list (formerly)</w:t>
            </w:r>
            <w:hyperlink r:id="rId45086ac1b3d2c6020"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HEMELE</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45505915" name="name18176ac1b3d2c66b0" descr="191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153.jpg"/>
                          <pic:cNvPicPr/>
                        </pic:nvPicPr>
                        <pic:blipFill>
                          <a:blip r:embed="rId58996ac1b3d2c66ae" cstate="print"/>
                          <a:stretch>
                            <a:fillRect/>
                          </a:stretch>
                        </pic:blipFill>
                        <pic:spPr>
                          <a:xfrm>
                            <a:off x="0" y="0"/>
                            <a:ext cx="2160000" cy="1281600"/>
                          </a:xfrm>
                          <a:prstGeom prst="rect">
                            <a:avLst/>
                          </a:prstGeom>
                          <a:ln w="0">
                            <a:noFill/>
                          </a:ln>
                        </pic:spPr>
                      </pic:pic>
                    </a:graphicData>
                  </a:graphic>
                </wp:inline>
              </w:drawing>
            </w:r>
            <w:hyperlink r:id="rId13126ac1b3d2c67c4"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Several geographical populations of </w:t>
      </w:r>
      <w:r>
        <w:rPr>
          <w:rFonts w:ascii="Calibri" w:hAnsi="Calibri" w:eastAsia="Calibri" w:cs="Calibri"/>
          <w:i/>
          <w:iCs/>
          <w:color w:val="000000"/>
          <w:sz w:val="22"/>
          <w:szCs w:val="22"/>
        </w:rPr>
        <w:t xml:space="preserve">O. leucostigma</w:t>
      </w:r>
      <w:r>
        <w:rPr>
          <w:rFonts w:ascii="Calibri" w:hAnsi="Calibri" w:eastAsia="Calibri" w:cs="Calibri"/>
          <w:color w:val="000000"/>
          <w:sz w:val="22"/>
          <w:szCs w:val="22"/>
        </w:rPr>
        <w:t xml:space="preserve"> exist, which are sometimes treated as five subspecies: </w:t>
      </w:r>
      <w:r>
        <w:rPr>
          <w:rFonts w:ascii="Calibri" w:hAnsi="Calibri" w:eastAsia="Calibri" w:cs="Calibri"/>
          <w:i/>
          <w:iCs/>
          <w:color w:val="000000"/>
          <w:sz w:val="22"/>
          <w:szCs w:val="22"/>
        </w:rPr>
        <w:t xml:space="preserve">O. leucostigma</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leucostigma</w:t>
      </w:r>
      <w:r>
        <w:rPr>
          <w:rFonts w:ascii="Calibri" w:hAnsi="Calibri" w:eastAsia="Calibri" w:cs="Calibri"/>
          <w:color w:val="000000"/>
          <w:sz w:val="22"/>
          <w:szCs w:val="22"/>
        </w:rPr>
        <w:t xml:space="preserve"> (Smith, 1797), </w:t>
      </w:r>
      <w:r>
        <w:rPr>
          <w:rFonts w:ascii="Calibri" w:hAnsi="Calibri" w:eastAsia="Calibri" w:cs="Calibri"/>
          <w:i/>
          <w:iCs/>
          <w:color w:val="000000"/>
          <w:sz w:val="22"/>
          <w:szCs w:val="22"/>
        </w:rPr>
        <w:t xml:space="preserve">O. leucostigma</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intermedia</w:t>
      </w:r>
      <w:r>
        <w:rPr>
          <w:rFonts w:ascii="Calibri" w:hAnsi="Calibri" w:eastAsia="Calibri" w:cs="Calibri"/>
          <w:color w:val="000000"/>
          <w:sz w:val="22"/>
          <w:szCs w:val="22"/>
        </w:rPr>
        <w:t xml:space="preserve"> Fitch, 1856, </w:t>
      </w:r>
      <w:r>
        <w:rPr>
          <w:rFonts w:ascii="Calibri" w:hAnsi="Calibri" w:eastAsia="Calibri" w:cs="Calibri"/>
          <w:i/>
          <w:iCs/>
          <w:color w:val="000000"/>
          <w:sz w:val="22"/>
          <w:szCs w:val="22"/>
        </w:rPr>
        <w:t xml:space="preserve">O. leucostigma</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plagiata</w:t>
      </w:r>
      <w:r>
        <w:rPr>
          <w:rFonts w:ascii="Calibri" w:hAnsi="Calibri" w:eastAsia="Calibri" w:cs="Calibri"/>
          <w:color w:val="000000"/>
          <w:sz w:val="22"/>
          <w:szCs w:val="22"/>
        </w:rPr>
        <w:t xml:space="preserve"> (Walker, 1855), </w:t>
      </w:r>
      <w:r>
        <w:rPr>
          <w:rFonts w:ascii="Calibri" w:hAnsi="Calibri" w:eastAsia="Calibri" w:cs="Calibri"/>
          <w:i/>
          <w:iCs/>
          <w:color w:val="000000"/>
          <w:sz w:val="22"/>
          <w:szCs w:val="22"/>
        </w:rPr>
        <w:t xml:space="preserve">O. leucostigma</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oslari</w:t>
      </w:r>
      <w:r>
        <w:rPr>
          <w:rFonts w:ascii="Calibri" w:hAnsi="Calibri" w:eastAsia="Calibri" w:cs="Calibri"/>
          <w:color w:val="000000"/>
          <w:sz w:val="22"/>
          <w:szCs w:val="22"/>
        </w:rPr>
        <w:t xml:space="preserve"> Barnes, 1900 and </w:t>
      </w:r>
      <w:r>
        <w:rPr>
          <w:rFonts w:ascii="Calibri" w:hAnsi="Calibri" w:eastAsia="Calibri" w:cs="Calibri"/>
          <w:i/>
          <w:iCs/>
          <w:color w:val="000000"/>
          <w:sz w:val="22"/>
          <w:szCs w:val="22"/>
        </w:rPr>
        <w:t xml:space="preserve">O. leucostigma</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sablensis</w:t>
      </w:r>
      <w:r>
        <w:rPr>
          <w:rFonts w:ascii="Calibri" w:hAnsi="Calibri" w:eastAsia="Calibri" w:cs="Calibri"/>
          <w:color w:val="000000"/>
          <w:sz w:val="22"/>
          <w:szCs w:val="22"/>
        </w:rPr>
        <w:t xml:space="preserve"> Neil, 1979 (Ferguson, 1978; Wallner &amp; McManus, 1989; Pohl et al., 2018).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O. leucostigma</w:t>
      </w:r>
      <w:r>
        <w:rPr>
          <w:rFonts w:ascii="Calibri" w:hAnsi="Calibri" w:eastAsia="Calibri" w:cs="Calibri"/>
          <w:color w:val="000000"/>
          <w:sz w:val="22"/>
          <w:szCs w:val="22"/>
        </w:rPr>
        <w:t xml:space="preserve"> is highly polyphagous and has been recorded on over 160 host plants belonging to 122 genera and 59 families (EPPO, 2021). Host plants include deciduous and coniferous woody plants, as well as herbaceous plants (including some weeds), however most damage is recorded on trees and bushes. In forests, </w:t>
      </w:r>
      <w:r>
        <w:rPr>
          <w:rFonts w:ascii="Calibri" w:hAnsi="Calibri" w:eastAsia="Calibri" w:cs="Calibri"/>
          <w:i/>
          <w:iCs/>
          <w:color w:val="000000"/>
          <w:sz w:val="22"/>
          <w:szCs w:val="22"/>
        </w:rPr>
        <w:t xml:space="preserve">O. leucostigma</w:t>
      </w:r>
      <w:r>
        <w:rPr>
          <w:rFonts w:ascii="Calibri" w:hAnsi="Calibri" w:eastAsia="Calibri" w:cs="Calibri"/>
          <w:color w:val="000000"/>
          <w:sz w:val="22"/>
          <w:szCs w:val="22"/>
        </w:rPr>
        <w:t xml:space="preserve"> is primarily a pest of deciduous trees but coniferous species are also attacked when population density is high (Natural Resources Canada, 2020). The host species with most significant damage differ depending on areas, </w:t>
      </w:r>
      <w:r>
        <w:rPr>
          <w:rFonts w:ascii="Calibri" w:hAnsi="Calibri" w:eastAsia="Calibri" w:cs="Calibri"/>
          <w:i/>
          <w:iCs/>
          <w:color w:val="000000"/>
          <w:sz w:val="22"/>
          <w:szCs w:val="22"/>
        </w:rPr>
        <w:t xml:space="preserve">O. leucostigma</w:t>
      </w:r>
      <w:r>
        <w:rPr>
          <w:rFonts w:ascii="Calibri" w:hAnsi="Calibri" w:eastAsia="Calibri" w:cs="Calibri"/>
          <w:color w:val="000000"/>
          <w:sz w:val="22"/>
          <w:szCs w:val="22"/>
        </w:rPr>
        <w:t xml:space="preserve"> subspecies and years. The EPPO PRA distinguished between main hosts and other hosts, and details can be found in EPPO (2021). </w:t>
      </w:r>
      <w:r>
        <w:rPr>
          <w:rFonts w:ascii="Calibri" w:hAnsi="Calibri" w:eastAsia="Calibri" w:cs="Calibri"/>
          <w:b/>
          <w:bCs/>
          <w:color w:val="000000"/>
          <w:sz w:val="22"/>
          <w:szCs w:val="22"/>
        </w:rPr>
        <w:br/>
        <w:t xml:space="preserve"> </w:t>
      </w:r>
      <w:r>
        <w:rPr>
          <w:rFonts w:ascii="Calibri" w:hAnsi="Calibri" w:eastAsia="Calibri" w:cs="Calibri"/>
          <w:b/>
          <w:bCs/>
          <w:color w:val="000000"/>
          <w:sz w:val="22"/>
          <w:szCs w:val="22"/>
        </w:rPr>
        <w:br/>
        <w:t xml:space="preserve"> </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balsamea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concolor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negundo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platanoides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rubrum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saccharinum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saccharum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spicatum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Aesculus flava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Aesculus glabra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Aesculus hippocastanum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Ailanthus altissima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Albizia julibrissin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Alnus incana subsp. rugosa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Alnus incana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Alnus viridis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Amelanchier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Asimina triloba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Berberis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Berberis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alleghaniensis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lenta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papyrifera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pubescens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Buxus sempervirens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Callistemon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Camellia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Camellia sasanqua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Camellia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Campsis radicans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Carpinus caroliniana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Carpinus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Carya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Castanea dentata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Castanea pumila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Catalpa bignonioides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Catalpa speciosa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Catalpa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Celtis laevigata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Celtis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Cephalanthus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Cercis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Chaenactis stevioides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Chamaecyparis thyoides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Chenopodium album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Chionanthus virginicus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Chrysalidocarpus lutescens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Clematis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Coffea arabica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Convallaria majalis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Cornus alternifolia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Cornus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Cornus florida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Corylus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Corylus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Cotinus coggygria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Cupressus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Cydonia oblonga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kaki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virginiana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Eriobotrya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Euonymus atropurpureus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Fagus grandifolia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Fagus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carica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Fragaria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excelsior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Geranium maculatum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Gleditsia triacanthos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Gordonia lasianthus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 herbaceum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Gymnocladus dioica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Hamamelis virginiana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Hedera helix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Helianthus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syriacus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trionum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Humulus lupulus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Ilex opaca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Illicium parviflorum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purpurea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Iris versicolor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Jasminum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cinerea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regia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Juniperus virginiana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Kalmia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decidua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laricina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Leptochloa nealleyi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Ligustrum vulgare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Liquidambar styraciflua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Liriodendron tulipifera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Litchi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Lonicera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Maclura pomifera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Mimosa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Morus rubra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Myrica cerifera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Myrica gale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Myrica pensylvanica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Nyssa sylvatica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Ostrya virginiana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Oxydendrum arboreum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Parthenocissus quinquefolia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Paulownia tomentosa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Pelargonium x hortorum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Persea borbonia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Photinia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glauca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mariana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rubens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strobus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Plantago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Platanus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Poa pratensis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balsamifera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deltoides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fremontii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nigra var. italica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tremuloides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armeniaca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cerasus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ilicifolia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pensylvanica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virginiana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Punica granatum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Pyracantha coccinea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Pyracantha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coccinea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laurifolia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michauxii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phellos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rubra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virginiana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Rhamnus alnifolia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Rhaphiolepis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Rhizophora mangle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Rhododendron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Ribes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Ricinus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Robinia pseudoacacia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babylonica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caroliniana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Sambucus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Sassafras albidum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Simmondsia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Spiraea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Staphylea trifolia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Symphoricarpos albus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Syringa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Tamarix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Tamarix gallica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Taraxacum officinale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Taxus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Tilia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Tilia x europaea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Tilia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Trema micrantha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Triticum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Tsuga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Tsuga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parvifolia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rubra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Urena lobata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angustifolium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corymbosum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Viburnum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Wisteria frutescens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Wisteria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Zanthoxylum clava-herculis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Zea mays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O. leucostigma</w:t>
      </w:r>
      <w:r>
        <w:rPr>
          <w:rFonts w:ascii="Calibri" w:hAnsi="Calibri" w:eastAsia="Calibri" w:cs="Calibri"/>
          <w:color w:val="000000"/>
          <w:sz w:val="22"/>
          <w:szCs w:val="22"/>
        </w:rPr>
        <w:t xml:space="preserve"> is distributed throughout the eastern part of North America, reaching to the west New Mexico and Colorado in the USA and Manitoba in Canada. There have also been two records in the western part of Cuba (Barro &amp; Núñez, 2011, Núñez &amp; Barro, 2012, EPPO, 2021).</w:t>
      </w:r>
    </w:p>
    <w:p>
      <w:pPr>
        <w:widowControl w:val="on"/>
        <w:pBdr/>
        <w:spacing w:before="220" w:after="220" w:line="240" w:lineRule="auto"/>
        <w:ind w:left="0" w:right="0"/>
        <w:jc w:val="left"/>
      </w:pPr>
    </w:p>
    <w:p>
      <w:r>
        <w:drawing>
          <wp:inline distT="0" distB="0" distL="0" distR="0">
            <wp:extent cx="6120000" cy="3067200"/>
            <wp:docPr id="18093915" name="name93936ac1b3d2c8c7a" descr="HEMELE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MELE_distribution_map.jpg"/>
                    <pic:cNvPicPr/>
                  </pic:nvPicPr>
                  <pic:blipFill>
                    <a:blip r:embed="rId41796ac1b3d2c8c76"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br/>
        <w:t xml:space="preserve">North America:</w:t>
      </w:r>
      <w:r>
        <w:rPr>
          <w:rFonts w:ascii="Calibri" w:hAnsi="Calibri" w:eastAsia="Calibri" w:cs="Calibri"/>
          <w:color w:val="000000"/>
          <w:sz w:val="22"/>
          <w:szCs w:val="22"/>
        </w:rPr>
        <w:t xml:space="preserve"> Canada (Alberta, Manitoba, New Brunswick, Newfoundland, Nova Scotia, Ontario, Prince Edward Island, Québec, Saskatchewan), United States of America (Alabama, Arkansas, Colorado, Connecticut, Delaware, Florida, Georgia, Illinois, Indiana, Iowa, Kansas, Kentucky, Louisiana, Maine, Maryland, Massachusetts, Michigan, Minnesota, Mississippi, Missouri, Nebraska, New Hampshire, New Jersey, New Mexico, New York, North Carolina, Ohio, Oklahoma, Pennsylvania, Rhode Island, South Carolina, Tennessee, Texas, Vermont, Virginia, West Virginia, Wisconsin)</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Cuba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left"/>
      </w:pPr>
      <w:r>
        <w:rPr>
          <w:rFonts w:ascii="Calibri" w:hAnsi="Calibri" w:eastAsia="Calibri" w:cs="Calibri"/>
          <w:color w:val="000000"/>
          <w:sz w:val="22"/>
          <w:szCs w:val="22"/>
        </w:rPr>
        <w:t xml:space="preserve">Females of </w:t>
      </w:r>
      <w:r>
        <w:rPr>
          <w:rFonts w:ascii="Calibri" w:hAnsi="Calibri" w:eastAsia="Calibri" w:cs="Calibri"/>
          <w:i/>
          <w:iCs/>
          <w:color w:val="000000"/>
          <w:sz w:val="22"/>
          <w:szCs w:val="22"/>
        </w:rPr>
        <w:t xml:space="preserve">O. leucostigma</w:t>
      </w:r>
      <w:r>
        <w:rPr>
          <w:rFonts w:ascii="Calibri" w:hAnsi="Calibri" w:eastAsia="Calibri" w:cs="Calibri"/>
          <w:color w:val="000000"/>
          <w:sz w:val="22"/>
          <w:szCs w:val="22"/>
        </w:rPr>
        <w:t xml:space="preserve"> lay up to 500 eggs in a froth-covered egg mass on the surface of or near their empty pupal cocoons (Webster, 1916; Belton, 1988; Wilson, 1991; Isaacs &amp; van Timmeren, 2009; Schowalter, 2018). </w:t>
      </w:r>
      <w:r>
        <w:rPr>
          <w:rFonts w:ascii="Calibri" w:hAnsi="Calibri" w:eastAsia="Calibri" w:cs="Calibri"/>
          <w:i/>
          <w:iCs/>
          <w:color w:val="000000"/>
          <w:sz w:val="22"/>
          <w:szCs w:val="22"/>
        </w:rPr>
        <w:t xml:space="preserve">O. leucostigma</w:t>
      </w:r>
      <w:r>
        <w:rPr>
          <w:rFonts w:ascii="Calibri" w:hAnsi="Calibri" w:eastAsia="Calibri" w:cs="Calibri"/>
          <w:color w:val="000000"/>
          <w:sz w:val="22"/>
          <w:szCs w:val="22"/>
        </w:rPr>
        <w:t xml:space="preserve"> generally overwinters in the egg stage, although in some locations larvae, pupae or adults may be present during the winter (Webster, 1916; Ferguson, 1978). The period of larval emergence depends on location (e.g. latitude, climatic conditions) (Isaacs &amp; van Timmeren, 2009) and is typically closely timed to match the availability of new host plant foliage (EPPO, 2021). First instar larvae disperse throughout the host plant, often by spinning down on long silk threads and floating on air currents (‘ballooning’) (Thurston, 2002). Such ‘ballooning’ is also the main means of natural dispersal of the species (Embree et al</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1984; Thurston &amp; MacGregor, 2003). ‘Ballooning’ distances of </w:t>
      </w:r>
      <w:r>
        <w:rPr>
          <w:rFonts w:ascii="Calibri" w:hAnsi="Calibri" w:eastAsia="Calibri" w:cs="Calibri"/>
          <w:i/>
          <w:iCs/>
          <w:color w:val="000000"/>
          <w:sz w:val="22"/>
          <w:szCs w:val="22"/>
        </w:rPr>
        <w:t xml:space="preserve">O. leucostigma</w:t>
      </w:r>
      <w:r>
        <w:rPr>
          <w:rFonts w:ascii="Calibri" w:hAnsi="Calibri" w:eastAsia="Calibri" w:cs="Calibri"/>
          <w:color w:val="000000"/>
          <w:sz w:val="22"/>
          <w:szCs w:val="22"/>
        </w:rPr>
        <w:t xml:space="preserve"> are not known, but most larvae of the related species </w:t>
      </w:r>
      <w:r>
        <w:rPr>
          <w:rFonts w:ascii="Calibri" w:hAnsi="Calibri" w:eastAsia="Calibri" w:cs="Calibri"/>
          <w:i/>
          <w:iCs/>
          <w:color w:val="000000"/>
          <w:sz w:val="22"/>
          <w:szCs w:val="22"/>
        </w:rPr>
        <w:t xml:space="preserve">O. pseudotsugata </w:t>
      </w:r>
      <w:r>
        <w:rPr>
          <w:rFonts w:ascii="Calibri" w:hAnsi="Calibri" w:eastAsia="Calibri" w:cs="Calibri"/>
          <w:color w:val="000000"/>
          <w:sz w:val="22"/>
          <w:szCs w:val="22"/>
        </w:rPr>
        <w:t xml:space="preserve">generally do not disperse more than 200 m (EPPO, 2021) by this means. Larvae of </w:t>
      </w:r>
      <w:r>
        <w:rPr>
          <w:rFonts w:ascii="Calibri" w:hAnsi="Calibri" w:eastAsia="Calibri" w:cs="Calibri"/>
          <w:i/>
          <w:iCs/>
          <w:color w:val="000000"/>
          <w:sz w:val="22"/>
          <w:szCs w:val="22"/>
        </w:rPr>
        <w:t xml:space="preserve">O. leucostigma</w:t>
      </w:r>
      <w:r>
        <w:rPr>
          <w:rFonts w:ascii="Calibri" w:hAnsi="Calibri" w:eastAsia="Calibri" w:cs="Calibri"/>
          <w:color w:val="000000"/>
          <w:sz w:val="22"/>
          <w:szCs w:val="22"/>
        </w:rPr>
        <w:t xml:space="preserve"> feed on the surface of leaves and the larval stage lasts 5–6 weeks (Schowalter, 2018). The last instar larvae spin nymphal cocoons mostly on host plants (such as on branches or stems) but in abundant populations these are formed on other materials such as fences, houses, logs (Embree et al., 1984; Wilson, 1991; Thurston, 2002; Baker, 2017). The pupal stage lasts 2–3 weeks (Wilson, 1991). Upon emerging, the flightless females attract males to their cocoons using a sex pheromone (Grant et al., 2003. Hall &amp; Buss, 2014). Males fly at night (Grant et al., 2003) and are attracted to artificial lights (Hancock, 1893). After oviposition, females die and fall to the ground (Thurston &amp; MacGregor, 2003; Schowalter, 2018). Adults do not feed and thus are short-lived (Tammaru et al., 2002).</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Orgyia leucostigma</w:t>
      </w:r>
      <w:r>
        <w:rPr>
          <w:rFonts w:ascii="Calibri" w:hAnsi="Calibri" w:eastAsia="Calibri" w:cs="Calibri"/>
          <w:color w:val="000000"/>
          <w:sz w:val="22"/>
          <w:szCs w:val="22"/>
        </w:rPr>
        <w:t xml:space="preserve"> has 1–3 generations per year, depending on climatic conditions (Drooz, 1985; Thurston, 2002; Grant et al., 2003; Isaacs &amp; van Timmeren, 2009). Using 12.8°C as a base threshold temperature, 2000 growing degree-days (GDD) are needed for the development of two generations of larvae (Isaacs &amp; van Timmeren, 2009). In laboratory experiments on northern highbush blueberry (</w:t>
      </w:r>
      <w:r>
        <w:rPr>
          <w:rFonts w:ascii="Calibri" w:hAnsi="Calibri" w:eastAsia="Calibri" w:cs="Calibri"/>
          <w:i/>
          <w:iCs/>
          <w:color w:val="000000"/>
          <w:sz w:val="22"/>
          <w:szCs w:val="22"/>
        </w:rPr>
        <w:t xml:space="preserve">Vaccinium corymbosum</w:t>
      </w:r>
      <w:r>
        <w:rPr>
          <w:rFonts w:ascii="Calibri" w:hAnsi="Calibri" w:eastAsia="Calibri" w:cs="Calibri"/>
          <w:color w:val="000000"/>
          <w:sz w:val="22"/>
          <w:szCs w:val="22"/>
        </w:rPr>
        <w:t xml:space="preserve">), the lower threshold for development was 12.3°C and the optimal temperatures for development was between 18°C and 28°C (Isaacs &amp; van Timmeren, 2009).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left"/>
      </w:pPr>
      <w:r>
        <w:rPr>
          <w:rFonts w:ascii="Calibri" w:hAnsi="Calibri" w:eastAsia="Calibri" w:cs="Calibri"/>
          <w:color w:val="000000"/>
          <w:sz w:val="22"/>
          <w:szCs w:val="22"/>
        </w:rPr>
        <w:t xml:space="preserve">The first sign of infestation by </w:t>
      </w:r>
      <w:r>
        <w:rPr>
          <w:rFonts w:ascii="Calibri" w:hAnsi="Calibri" w:eastAsia="Calibri" w:cs="Calibri"/>
          <w:i/>
          <w:iCs/>
          <w:color w:val="000000"/>
          <w:sz w:val="22"/>
          <w:szCs w:val="22"/>
        </w:rPr>
        <w:t xml:space="preserve">O. leucostigma</w:t>
      </w:r>
      <w:r>
        <w:rPr>
          <w:rFonts w:ascii="Calibri" w:hAnsi="Calibri" w:eastAsia="Calibri" w:cs="Calibri"/>
          <w:color w:val="000000"/>
          <w:sz w:val="22"/>
          <w:szCs w:val="22"/>
        </w:rPr>
        <w:t xml:space="preserve"> is normally numerous holes in young leaves. Larvae are highly visible on the leaves. Later in the infestation, skeletonized shoots and bare stems indicate the presence of larger larvae.</w:t>
      </w:r>
    </w:p>
    <w:p>
      <w:pPr>
        <w:widowControl w:val="on"/>
        <w:pBdr/>
        <w:spacing w:before="0" w:after="0" w:line="240" w:lineRule="auto"/>
        <w:ind w:left="0" w:right="0"/>
        <w:jc w:val="left"/>
      </w:pPr>
      <w:r>
        <w:rPr>
          <w:rFonts w:ascii="Calibri" w:hAnsi="Calibri" w:eastAsia="Calibri" w:cs="Calibri"/>
          <w:color w:val="000000"/>
          <w:sz w:val="22"/>
          <w:szCs w:val="22"/>
        </w:rPr>
        <w:t xml:space="preserve">
</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Eggs and egg masses</w:t>
      </w:r>
    </w:p>
    <w:p>
      <w:pPr>
        <w:widowControl w:val="on"/>
        <w:pBdr/>
        <w:spacing w:before="220" w:after="220" w:line="240" w:lineRule="auto"/>
        <w:ind w:left="0" w:right="0"/>
        <w:jc w:val="both"/>
      </w:pPr>
      <w:r>
        <w:rPr>
          <w:rFonts w:ascii="Calibri" w:hAnsi="Calibri" w:eastAsia="Calibri" w:cs="Calibri"/>
          <w:color w:val="000000"/>
          <w:sz w:val="22"/>
          <w:szCs w:val="22"/>
        </w:rPr>
        <w:t xml:space="preserve">Eggs are 1-2 mm, round and cream-white in colour. They are laid in a foamy white egg mass (see Biology) (Webster, 1916; Wilson, 1991; Hall &amp; Buss, 2014; Schowalter, 2018).</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Newly hatched larvae are small and brown, around 2.5–4 mm long. Mature larvae are 25–37 mm long and have a reddish-orange head and hairy body. They are characterised by two white or yellow lines along the body’s length, a black mid-dorsal stripe, four brush-like tufts of light tan hairs on the back (on the first four abdominal segments) and red dorsal glandular structures on abdominal segments six and seven. A pair of longer tufts (tussocks) of black hairs rises forward from the prothorax, and dorsal hair tufts of black setae extending backward on the eighth abdominal segment (Riley, 1888; Isaacs &amp; van Timmeren, 2008; 2009; Wagner et al., 1997; Hall &amp; Buss, 2014; Schowalter, 2018; Natural Resources Canada, 2020).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Pupae appear hairy and have patches of dorsal spatulate setae on abdominal segments 1–3. They are enclosed in the nymphal cocoons, which are cream- or tan in colour, made of silk and body hairs, and approximately the size of the adult (Barnard &amp; Dixon, 1983; Hall &amp; Buss, 2014; Schowalter, 2018). Female and male pupae vary in size, length of the wings in relation to the abdomen, and antennae width (Riley, 1888; Hall &amp; Buss, 2014)</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Males are ash grey with prominent bipectinate antennae and a wingspan of 25–30 mm. Forewings have darker wavy bands and a conspicuous white spot near the anal angle. The wings of newly emerged males have a purplish tint. When at rest, males hold their first pair of legs in an outstretched position. Females are creamy white to grey, hairy and about 12 mm long. The literature often describes females as being wingless, but they are short-winged (brachypterous) and cannot fly (Hall &amp; Buss, 2014; Schowalter, 2018; Isaacs &amp; van Timmeren, 2009).</w:t>
      </w:r>
    </w:p>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The life stages of </w:t>
      </w:r>
      <w:r>
        <w:rPr>
          <w:rFonts w:ascii="Calibri" w:hAnsi="Calibri" w:eastAsia="Calibri" w:cs="Calibri"/>
          <w:i/>
          <w:iCs/>
          <w:color w:val="000000"/>
          <w:sz w:val="22"/>
          <w:szCs w:val="22"/>
        </w:rPr>
        <w:t xml:space="preserve">O. leucostigma</w:t>
      </w:r>
      <w:r>
        <w:rPr>
          <w:rFonts w:ascii="Calibri" w:hAnsi="Calibri" w:eastAsia="Calibri" w:cs="Calibri"/>
          <w:color w:val="000000"/>
          <w:sz w:val="22"/>
          <w:szCs w:val="22"/>
        </w:rPr>
        <w:t xml:space="preserve"> and its symptoms are usually visible to the naked eye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(EPPO, 2021)</w:t>
      </w:r>
      <w:r>
        <w:rPr>
          <w:rFonts w:ascii="Calibri" w:hAnsi="Calibri" w:eastAsia="Calibri" w:cs="Calibri"/>
          <w:b/>
          <w:bCs/>
          <w:color w:val="000000"/>
          <w:sz w:val="22"/>
          <w:szCs w:val="22"/>
        </w:rPr>
        <w:t xml:space="preserve">.</w:t>
      </w:r>
      <w:r>
        <w:rPr>
          <w:rFonts w:ascii="Calibri" w:hAnsi="Calibri" w:eastAsia="Calibri" w:cs="Calibri"/>
          <w:color w:val="000000"/>
          <w:sz w:val="22"/>
          <w:szCs w:val="22"/>
        </w:rPr>
        <w:t xml:space="preserve"> Symptoms and life stages can be more difficult to detect on certain plants and plant shapes (such as dense, shady parts of plants, evergreen plants).</w:t>
      </w:r>
    </w:p>
    <w:p>
      <w:pPr>
        <w:widowControl w:val="on"/>
        <w:pBdr/>
        <w:spacing w:before="220" w:after="220" w:line="240" w:lineRule="auto"/>
        <w:ind w:left="0" w:right="0"/>
        <w:jc w:val="both"/>
      </w:pPr>
      <w:r>
        <w:rPr>
          <w:rFonts w:ascii="Calibri" w:hAnsi="Calibri" w:eastAsia="Calibri" w:cs="Calibri"/>
          <w:color w:val="000000"/>
          <w:sz w:val="22"/>
          <w:szCs w:val="22"/>
        </w:rPr>
        <w:t xml:space="preserve">Adult males can be trapped using pheromone traps baited with </w:t>
      </w:r>
      <w:r>
        <w:rPr>
          <w:rFonts w:ascii="Calibri" w:hAnsi="Calibri" w:eastAsia="Calibri" w:cs="Calibri"/>
          <w:i/>
          <w:iCs/>
          <w:color w:val="000000"/>
          <w:sz w:val="22"/>
          <w:szCs w:val="22"/>
        </w:rPr>
        <w:t xml:space="preserve">O. leucostigma</w:t>
      </w:r>
      <w:r>
        <w:rPr>
          <w:rFonts w:ascii="Calibri" w:hAnsi="Calibri" w:eastAsia="Calibri" w:cs="Calibri"/>
          <w:color w:val="000000"/>
          <w:sz w:val="22"/>
          <w:szCs w:val="22"/>
        </w:rPr>
        <w:t xml:space="preserve"> pheromone [(Z,Z)-6,9-heneicosadien-11-one] (Grant et al</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2003; Isaacs &amp; van Timmeren, 2009) or </w:t>
      </w:r>
      <w:r>
        <w:rPr>
          <w:rFonts w:ascii="Calibri" w:hAnsi="Calibri" w:eastAsia="Calibri" w:cs="Calibri"/>
          <w:i/>
          <w:iCs/>
          <w:color w:val="000000"/>
          <w:sz w:val="22"/>
          <w:szCs w:val="22"/>
        </w:rPr>
        <w:t xml:space="preserve">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pseudotsugata </w:t>
      </w:r>
      <w:r>
        <w:rPr>
          <w:rFonts w:ascii="Calibri" w:hAnsi="Calibri" w:eastAsia="Calibri" w:cs="Calibri"/>
          <w:color w:val="000000"/>
          <w:sz w:val="22"/>
          <w:szCs w:val="22"/>
        </w:rPr>
        <w:t xml:space="preserve">pheromone (Daterman et al</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1977). Large plastic delta traps were found to be the most effective at trapping males in field experiments on blueberry (</w:t>
      </w:r>
      <w:r>
        <w:rPr>
          <w:rFonts w:ascii="Calibri" w:hAnsi="Calibri" w:eastAsia="Calibri" w:cs="Calibri"/>
          <w:i/>
          <w:iCs/>
          <w:color w:val="000000"/>
          <w:sz w:val="22"/>
          <w:szCs w:val="22"/>
        </w:rPr>
        <w:t xml:space="preserve">Vaccinium corymbosum</w:t>
      </w:r>
      <w:r>
        <w:rPr>
          <w:rFonts w:ascii="Calibri" w:hAnsi="Calibri" w:eastAsia="Calibri" w:cs="Calibri"/>
          <w:color w:val="000000"/>
          <w:sz w:val="22"/>
          <w:szCs w:val="22"/>
        </w:rPr>
        <w:t xml:space="preserve">) (Isaacs &amp; van Timmeren, 2009).</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O. leucostigma</w:t>
      </w:r>
      <w:r>
        <w:rPr>
          <w:rFonts w:ascii="Calibri" w:hAnsi="Calibri" w:eastAsia="Calibri" w:cs="Calibri"/>
          <w:color w:val="000000"/>
          <w:sz w:val="22"/>
          <w:szCs w:val="22"/>
        </w:rPr>
        <w:t xml:space="preserve"> can be distinguished from most </w:t>
      </w:r>
      <w:r>
        <w:rPr>
          <w:rFonts w:ascii="Calibri" w:hAnsi="Calibri" w:eastAsia="Calibri" w:cs="Calibri"/>
          <w:i/>
          <w:iCs/>
          <w:color w:val="000000"/>
          <w:sz w:val="22"/>
          <w:szCs w:val="22"/>
        </w:rPr>
        <w:t xml:space="preserve">Orgyia</w:t>
      </w:r>
      <w:r>
        <w:rPr>
          <w:rFonts w:ascii="Calibri" w:hAnsi="Calibri" w:eastAsia="Calibri" w:cs="Calibri"/>
          <w:color w:val="000000"/>
          <w:sz w:val="22"/>
          <w:szCs w:val="22"/>
        </w:rPr>
        <w:t xml:space="preserve"> species by external morphological characteristics of males (EPPO, 2021; Daterman et al., 1977). Due to colour polymorphism, and if male specimens are damaged (as is common for trapped specimens), </w:t>
      </w:r>
      <w:r>
        <w:rPr>
          <w:rFonts w:ascii="Calibri" w:hAnsi="Calibri" w:eastAsia="Calibri" w:cs="Calibri"/>
          <w:i/>
          <w:iCs/>
          <w:color w:val="000000"/>
          <w:sz w:val="22"/>
          <w:szCs w:val="22"/>
        </w:rPr>
        <w:t xml:space="preserve">O. leucostigma</w:t>
      </w:r>
      <w:r>
        <w:rPr>
          <w:rFonts w:ascii="Calibri" w:hAnsi="Calibri" w:eastAsia="Calibri" w:cs="Calibri"/>
          <w:color w:val="000000"/>
          <w:sz w:val="22"/>
          <w:szCs w:val="22"/>
        </w:rPr>
        <w:t xml:space="preserve"> may in some cases only reliably be distinguished from other </w:t>
      </w:r>
      <w:r>
        <w:rPr>
          <w:rFonts w:ascii="Calibri" w:hAnsi="Calibri" w:eastAsia="Calibri" w:cs="Calibri"/>
          <w:i/>
          <w:iCs/>
          <w:color w:val="000000"/>
          <w:sz w:val="22"/>
          <w:szCs w:val="22"/>
        </w:rPr>
        <w:t xml:space="preserve">Orgyia</w:t>
      </w:r>
      <w:r>
        <w:rPr>
          <w:rFonts w:ascii="Calibri" w:hAnsi="Calibri" w:eastAsia="Calibri" w:cs="Calibri"/>
          <w:color w:val="000000"/>
          <w:sz w:val="22"/>
          <w:szCs w:val="22"/>
        </w:rPr>
        <w:t xml:space="preserve"> species by the male genitalia (Ferguson, 1978; pers. comm. in EPPO, 2021). Ferguson (1978) provides a key to last instar larvae of eight </w:t>
      </w:r>
      <w:r>
        <w:rPr>
          <w:rFonts w:ascii="Calibri" w:hAnsi="Calibri" w:eastAsia="Calibri" w:cs="Calibri"/>
          <w:i/>
          <w:iCs/>
          <w:color w:val="000000"/>
          <w:sz w:val="22"/>
          <w:szCs w:val="22"/>
        </w:rPr>
        <w:t xml:space="preserve">Orgyia </w:t>
      </w:r>
      <w:r>
        <w:rPr>
          <w:rFonts w:ascii="Calibri" w:hAnsi="Calibri" w:eastAsia="Calibri" w:cs="Calibri"/>
          <w:color w:val="000000"/>
          <w:sz w:val="22"/>
          <w:szCs w:val="22"/>
        </w:rPr>
        <w:t xml:space="preserve">species, including </w:t>
      </w:r>
      <w:r>
        <w:rPr>
          <w:rFonts w:ascii="Calibri" w:hAnsi="Calibri" w:eastAsia="Calibri" w:cs="Calibri"/>
          <w:i/>
          <w:iCs/>
          <w:color w:val="000000"/>
          <w:sz w:val="22"/>
          <w:szCs w:val="22"/>
        </w:rPr>
        <w:t xml:space="preserve">O. leucostigma</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A molecular diagnostic method based on PCR-RFLP of nuclear ribosomal DNA covering seven Lymantriidae species (including </w:t>
      </w:r>
      <w:r>
        <w:rPr>
          <w:rFonts w:ascii="Calibri" w:hAnsi="Calibri" w:eastAsia="Calibri" w:cs="Calibri"/>
          <w:i/>
          <w:iCs/>
          <w:color w:val="000000"/>
          <w:sz w:val="22"/>
          <w:szCs w:val="22"/>
        </w:rPr>
        <w:t xml:space="preserve">O. leucostigma</w:t>
      </w:r>
      <w:r>
        <w:rPr>
          <w:rFonts w:ascii="Calibri" w:hAnsi="Calibri" w:eastAsia="Calibri" w:cs="Calibri"/>
          <w:color w:val="000000"/>
          <w:sz w:val="22"/>
          <w:szCs w:val="22"/>
        </w:rPr>
        <w:t xml:space="preserve">) was developed in New Zealand to identify egg masses intercepted on imported used vehicles (Armstrong et al., 2003). Later, more advanced approaches for identification of Lymantriidae and two subspecies of </w:t>
      </w:r>
      <w:r>
        <w:rPr>
          <w:rFonts w:ascii="Calibri" w:hAnsi="Calibri" w:eastAsia="Calibri" w:cs="Calibri"/>
          <w:i/>
          <w:iCs/>
          <w:color w:val="000000"/>
          <w:sz w:val="22"/>
          <w:szCs w:val="22"/>
        </w:rPr>
        <w:t xml:space="preserve">Orgyia trigotephras</w:t>
      </w:r>
      <w:r>
        <w:rPr>
          <w:rFonts w:ascii="Calibri" w:hAnsi="Calibri" w:eastAsia="Calibri" w:cs="Calibri"/>
          <w:color w:val="000000"/>
          <w:sz w:val="22"/>
          <w:szCs w:val="22"/>
        </w:rPr>
        <w:t xml:space="preserve"> using DNA barcoding of the </w:t>
      </w:r>
      <w:r>
        <w:rPr>
          <w:rFonts w:ascii="Calibri" w:hAnsi="Calibri" w:eastAsia="Calibri" w:cs="Calibri"/>
          <w:i/>
          <w:iCs/>
          <w:color w:val="000000"/>
          <w:sz w:val="22"/>
          <w:szCs w:val="22"/>
        </w:rPr>
        <w:t xml:space="preserve">cox1</w:t>
      </w:r>
      <w:r>
        <w:rPr>
          <w:rFonts w:ascii="Calibri" w:hAnsi="Calibri" w:eastAsia="Calibri" w:cs="Calibri"/>
          <w:color w:val="000000"/>
          <w:sz w:val="22"/>
          <w:szCs w:val="22"/>
        </w:rPr>
        <w:t xml:space="preserve"> gene were tested and proved successful by Armstrong &amp; Ball (2005), Ball &amp; Armstrong (2006) and Ezzine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All life stages can be present on the above-ground parts of the host plants, including foliage, branches and stems/trunks. The main pathway for </w:t>
      </w:r>
      <w:r>
        <w:rPr>
          <w:rFonts w:ascii="Calibri" w:hAnsi="Calibri" w:eastAsia="Calibri" w:cs="Calibri"/>
          <w:i/>
          <w:iCs/>
          <w:color w:val="000000"/>
          <w:sz w:val="22"/>
          <w:szCs w:val="22"/>
        </w:rPr>
        <w:t xml:space="preserve">O. leucostigma</w:t>
      </w:r>
      <w:r>
        <w:rPr>
          <w:rFonts w:ascii="Calibri" w:hAnsi="Calibri" w:eastAsia="Calibri" w:cs="Calibri"/>
          <w:color w:val="000000"/>
          <w:sz w:val="22"/>
          <w:szCs w:val="22"/>
        </w:rPr>
        <w:t xml:space="preserve"> is plants for planting of hosts (except seeds, bulbs, corms, tubers, rhizomes, tissue cultures, pollen). Round wood with bark of main hosts is also a potential pathway (EPPO, 2021). The EPPO PRA assessed the likelihood of entry on cut branches (incl. Christmas trees), sawn wood with bark, bark of main hosts, and round wood with bark of other hosts as low (EPPO, 2021). For all pathways, the pest is more likely to be associated with its woody hosts than its herbaceous hosts. Transfer to a suitable host is a limiting step for entry on most pathways. However, arrival of a single egg-mass or a fertilized female may be sufficient to facilitate transfer, if it ends up in a site with a high density of suitable host plants. Larvae would need to reach a host through ‘ballooning’ or crawling.</w:t>
      </w:r>
    </w:p>
    <w:p>
      <w:pPr>
        <w:widowControl w:val="on"/>
        <w:pBdr/>
        <w:spacing w:before="220" w:after="220" w:line="240" w:lineRule="auto"/>
        <w:ind w:left="0" w:right="0"/>
        <w:jc w:val="both"/>
      </w:pPr>
      <w:r>
        <w:rPr>
          <w:rFonts w:ascii="Calibri" w:hAnsi="Calibri" w:eastAsia="Calibri" w:cs="Calibri"/>
          <w:color w:val="000000"/>
          <w:sz w:val="22"/>
          <w:szCs w:val="22"/>
        </w:rPr>
        <w:t xml:space="preserve">Egg masses, pupae and adults may become associated as a contaminant to various commodities of non-hosts (such as wood packaging material, containers, conveyances, or any material likely to be stored outside). However, transfer to a suitable host plant would require specific conditions and, in the EPPO PRA, it was not possible to identify commodities that may present a higher likelihood of association as a contaminant (EPPO,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Damage by </w:t>
      </w:r>
      <w:r>
        <w:rPr>
          <w:rFonts w:ascii="Calibri" w:hAnsi="Calibri" w:eastAsia="Calibri" w:cs="Calibri"/>
          <w:i/>
          <w:iCs/>
          <w:color w:val="000000"/>
          <w:sz w:val="22"/>
          <w:szCs w:val="22"/>
        </w:rPr>
        <w:t xml:space="preserve">O. leucostigma</w:t>
      </w:r>
      <w:r>
        <w:rPr>
          <w:rFonts w:ascii="Calibri" w:hAnsi="Calibri" w:eastAsia="Calibri" w:cs="Calibri"/>
          <w:color w:val="000000"/>
          <w:sz w:val="22"/>
          <w:szCs w:val="22"/>
        </w:rPr>
        <w:t xml:space="preserve"> is due to defoliation by larvae. Trees and shrubs may be entirely defoliated when larval density is high (Webster, 1916; Drooz, 1985; Hall &amp; Buss, 2014). Repeated years of severe defoliation can lead to significant wood loss and tree mortality (Magasi, 1995; Thurston, 2002; Dedes, 2014). In forests, </w:t>
      </w:r>
      <w:r>
        <w:rPr>
          <w:rFonts w:ascii="Calibri" w:hAnsi="Calibri" w:eastAsia="Calibri" w:cs="Calibri"/>
          <w:i/>
          <w:iCs/>
          <w:color w:val="000000"/>
          <w:sz w:val="22"/>
          <w:szCs w:val="22"/>
        </w:rPr>
        <w:t xml:space="preserve">O. leucostigma</w:t>
      </w:r>
      <w:r>
        <w:rPr>
          <w:rFonts w:ascii="Calibri" w:hAnsi="Calibri" w:eastAsia="Calibri" w:cs="Calibri"/>
          <w:color w:val="000000"/>
          <w:sz w:val="22"/>
          <w:szCs w:val="22"/>
        </w:rPr>
        <w:t xml:space="preserve"> is primarily a pest of broadleaved trees but it also attacks conifers when the population density is high (Magasi, 1995; Taylor et al</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2020). On conifer hosts, larvae also feed on the bark of twigs, leading to curling of twigs and deformation of branches (Dedes, 2014). Environmental impact can occur during severe outbreaks, as large-scale defoliation leads to changes to forest ecosystems in short time periods (Taylor et al</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color w:val="000000"/>
          <w:sz w:val="22"/>
          <w:szCs w:val="22"/>
        </w:rPr>
        <w:t xml:space="preserve">Outbreaks of </w:t>
      </w:r>
      <w:r>
        <w:rPr>
          <w:rFonts w:ascii="Calibri" w:hAnsi="Calibri" w:eastAsia="Calibri" w:cs="Calibri"/>
          <w:i/>
          <w:iCs/>
          <w:color w:val="000000"/>
          <w:sz w:val="22"/>
          <w:szCs w:val="22"/>
        </w:rPr>
        <w:t xml:space="preserve">O. leucostigma</w:t>
      </w:r>
      <w:r>
        <w:rPr>
          <w:rFonts w:ascii="Calibri" w:hAnsi="Calibri" w:eastAsia="Calibri" w:cs="Calibri"/>
          <w:color w:val="000000"/>
          <w:sz w:val="22"/>
          <w:szCs w:val="22"/>
        </w:rPr>
        <w:t xml:space="preserve"> have been reported to occur periodically, at least in the north-eastern USA and Canada (van Frankenhuyzen et al</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2002; Taylor et al</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2020). Outbreaks commonly last from 1 to 4 years. In the native range, populations are usually regulated by natural enemies, such as parasitoids, predators and pathogens, and especially the latter were found to be associated with the termination of outbreaks (Embree et al</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1984; Magasi, 1995; Thurston, 2002; van Frankenhuyzen et al., 2002). In Atlantic Canada, outbreaks occur about every 9 years with major outbreaks every 20 years (Thurston, 2002). In Nova Scotia, in 1996-2000, an outbreak of </w:t>
      </w:r>
      <w:r>
        <w:rPr>
          <w:rFonts w:ascii="Calibri" w:hAnsi="Calibri" w:eastAsia="Calibri" w:cs="Calibri"/>
          <w:i/>
          <w:iCs/>
          <w:color w:val="000000"/>
          <w:sz w:val="22"/>
          <w:szCs w:val="22"/>
        </w:rPr>
        <w:t xml:space="preserve">O. leucostigma</w:t>
      </w:r>
      <w:r>
        <w:rPr>
          <w:rFonts w:ascii="Calibri" w:hAnsi="Calibri" w:eastAsia="Calibri" w:cs="Calibri"/>
          <w:color w:val="000000"/>
          <w:sz w:val="22"/>
          <w:szCs w:val="22"/>
        </w:rPr>
        <w:t xml:space="preserve"> affected over 500 000 ha of forests (Thurston, 2002). Outbreaks in other parts of North America appear to be less severe (Drooz, 1985; Furniss &amp; Carolin, 2002; Keating et al., 2013; Boggs, 2019).</w:t>
      </w:r>
    </w:p>
    <w:p>
      <w:pPr>
        <w:widowControl w:val="on"/>
        <w:pBdr/>
        <w:spacing w:before="220" w:after="220" w:line="240" w:lineRule="auto"/>
        <w:ind w:left="0" w:right="0"/>
        <w:jc w:val="both"/>
      </w:pPr>
      <w:r>
        <w:rPr>
          <w:rFonts w:ascii="Calibri" w:hAnsi="Calibri" w:eastAsia="Calibri" w:cs="Calibri"/>
          <w:color w:val="000000"/>
          <w:sz w:val="22"/>
          <w:szCs w:val="22"/>
        </w:rPr>
        <w:t xml:space="preserve">In Canada,</w:t>
      </w:r>
      <w:r>
        <w:rPr>
          <w:rFonts w:ascii="Calibri" w:hAnsi="Calibri" w:eastAsia="Calibri" w:cs="Calibri"/>
          <w:i/>
          <w:iCs/>
          <w:color w:val="000000"/>
          <w:sz w:val="22"/>
          <w:szCs w:val="22"/>
        </w:rPr>
        <w:t xml:space="preserve"> O. leucostigma</w:t>
      </w:r>
      <w:r>
        <w:rPr>
          <w:rFonts w:ascii="Calibri" w:hAnsi="Calibri" w:eastAsia="Calibri" w:cs="Calibri"/>
          <w:color w:val="000000"/>
          <w:sz w:val="22"/>
          <w:szCs w:val="22"/>
        </w:rPr>
        <w:t xml:space="preserve"> is also a major pest in Christmas tree plantations of balsam fir (</w:t>
      </w:r>
      <w:r>
        <w:rPr>
          <w:rFonts w:ascii="Calibri" w:hAnsi="Calibri" w:eastAsia="Calibri" w:cs="Calibri"/>
          <w:i/>
          <w:iCs/>
          <w:color w:val="000000"/>
          <w:sz w:val="22"/>
          <w:szCs w:val="22"/>
        </w:rPr>
        <w:t xml:space="preserve">Abies balsamea</w:t>
      </w:r>
      <w:r>
        <w:rPr>
          <w:rFonts w:ascii="Calibri" w:hAnsi="Calibri" w:eastAsia="Calibri" w:cs="Calibri"/>
          <w:color w:val="000000"/>
          <w:sz w:val="22"/>
          <w:szCs w:val="22"/>
        </w:rPr>
        <w:t xml:space="preserve">), where defoliation can lead to a total crop loss in one year and presence of egg masses results in unmarketable trees (Embree et al., 1984; Thurston, 2002). Sporadic outbreaks in blueberry (</w:t>
      </w:r>
      <w:r>
        <w:rPr>
          <w:rFonts w:ascii="Calibri" w:hAnsi="Calibri" w:eastAsia="Calibri" w:cs="Calibri"/>
          <w:i/>
          <w:iCs/>
          <w:color w:val="000000"/>
          <w:sz w:val="22"/>
          <w:szCs w:val="22"/>
        </w:rPr>
        <w:t xml:space="preserve">Vaccinium</w:t>
      </w:r>
      <w:r>
        <w:rPr>
          <w:rFonts w:ascii="Calibri" w:hAnsi="Calibri" w:eastAsia="Calibri" w:cs="Calibri"/>
          <w:color w:val="000000"/>
          <w:sz w:val="22"/>
          <w:szCs w:val="22"/>
        </w:rPr>
        <w:t xml:space="preserve"> sp.) fields in Nova Scotia (Canada) and Michigan (USA) also result in significant crop losses (Neilson &amp; Crozier, 1989; Isaacs &amp; van Timmeren, 2009). </w:t>
      </w:r>
      <w:r>
        <w:rPr>
          <w:rFonts w:ascii="Calibri" w:hAnsi="Calibri" w:eastAsia="Calibri" w:cs="Calibri"/>
          <w:i/>
          <w:iCs/>
          <w:color w:val="000000"/>
          <w:sz w:val="22"/>
          <w:szCs w:val="22"/>
        </w:rPr>
        <w:t xml:space="preserve">O. leucostigma</w:t>
      </w:r>
      <w:r>
        <w:rPr>
          <w:rFonts w:ascii="Calibri" w:hAnsi="Calibri" w:eastAsia="Calibri" w:cs="Calibri"/>
          <w:color w:val="000000"/>
          <w:sz w:val="22"/>
          <w:szCs w:val="22"/>
        </w:rPr>
        <w:t xml:space="preserve"> has also been reported as a pest of fruit trees, such as apple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pear (</w:t>
      </w:r>
      <w:r>
        <w:rPr>
          <w:rFonts w:ascii="Calibri" w:hAnsi="Calibri" w:eastAsia="Calibri" w:cs="Calibri"/>
          <w:i/>
          <w:iCs/>
          <w:color w:val="000000"/>
          <w:sz w:val="22"/>
          <w:szCs w:val="22"/>
        </w:rPr>
        <w:t xml:space="preserve">Pyrus</w:t>
      </w:r>
      <w:r>
        <w:rPr>
          <w:rFonts w:ascii="Calibri" w:hAnsi="Calibri" w:eastAsia="Calibri" w:cs="Calibri"/>
          <w:color w:val="000000"/>
          <w:sz w:val="22"/>
          <w:szCs w:val="22"/>
        </w:rPr>
        <w:t xml:space="preserve">), plum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strawberry (</w:t>
      </w:r>
      <w:r>
        <w:rPr>
          <w:rFonts w:ascii="Calibri" w:hAnsi="Calibri" w:eastAsia="Calibri" w:cs="Calibri"/>
          <w:i/>
          <w:iCs/>
          <w:color w:val="000000"/>
          <w:sz w:val="22"/>
          <w:szCs w:val="22"/>
        </w:rPr>
        <w:t xml:space="preserve">Fragaria</w:t>
      </w:r>
      <w:r>
        <w:rPr>
          <w:rFonts w:ascii="Calibri" w:hAnsi="Calibri" w:eastAsia="Calibri" w:cs="Calibri"/>
          <w:color w:val="000000"/>
          <w:sz w:val="22"/>
          <w:szCs w:val="22"/>
        </w:rPr>
        <w:t xml:space="preserve">) and raspberry (</w:t>
      </w:r>
      <w:r>
        <w:rPr>
          <w:rFonts w:ascii="Calibri" w:hAnsi="Calibri" w:eastAsia="Calibri" w:cs="Calibri"/>
          <w:i/>
          <w:iCs/>
          <w:color w:val="000000"/>
          <w:sz w:val="22"/>
          <w:szCs w:val="22"/>
        </w:rPr>
        <w:t xml:space="preserve">Rubus</w:t>
      </w:r>
      <w:r>
        <w:rPr>
          <w:rFonts w:ascii="Calibri" w:hAnsi="Calibri" w:eastAsia="Calibri" w:cs="Calibri"/>
          <w:color w:val="000000"/>
          <w:sz w:val="22"/>
          <w:szCs w:val="22"/>
        </w:rPr>
        <w:t xml:space="preserve">) (Belton, 1988), and ornamental plants in gardens and landscapes (Embree et al., 1984, Baker, 2017). Finally, social impact can occur due to allergic reactions to larvae (Baker, 2017; Thurston, 2002).</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measures in the native range are usually not required since outbreaks are commonly local and are brought under control by natural factors, mainly natural enemies (see </w:t>
      </w:r>
      <w:r>
        <w:rPr>
          <w:rFonts w:ascii="Calibri" w:hAnsi="Calibri" w:eastAsia="Calibri" w:cs="Calibri"/>
          <w:i/>
          <w:iCs/>
          <w:color w:val="000000"/>
          <w:sz w:val="22"/>
          <w:szCs w:val="22"/>
        </w:rPr>
        <w:t xml:space="preserve">Economic impact</w:t>
      </w:r>
      <w:r>
        <w:rPr>
          <w:rFonts w:ascii="Calibri" w:hAnsi="Calibri" w:eastAsia="Calibri" w:cs="Calibri"/>
          <w:color w:val="000000"/>
          <w:sz w:val="22"/>
          <w:szCs w:val="22"/>
        </w:rPr>
        <w:t xml:space="preserve">). Nevertheless, extensive spraying programmes have been used to control outbreaks in blueberry plantations and in forests  using chemical or microbial plant protection products targeting larvae (Embree et al., 1984; Isaacs &amp; van Timmeren, 2008; Thurston, 2002, Schowalter, 2018). Regarding microbial plant protection products, </w:t>
      </w:r>
      <w:r>
        <w:rPr>
          <w:rFonts w:ascii="Calibri" w:hAnsi="Calibri" w:eastAsia="Calibri" w:cs="Calibri"/>
          <w:i/>
          <w:iCs/>
          <w:color w:val="000000"/>
          <w:sz w:val="22"/>
          <w:szCs w:val="22"/>
        </w:rPr>
        <w:t xml:space="preserve">Bacillus thuringiensis </w:t>
      </w:r>
      <w:r>
        <w:rPr>
          <w:rFonts w:ascii="Calibri" w:hAnsi="Calibri" w:eastAsia="Calibri" w:cs="Calibri"/>
          <w:color w:val="000000"/>
          <w:sz w:val="22"/>
          <w:szCs w:val="22"/>
        </w:rPr>
        <w:t xml:space="preserve">subsp.</w:t>
      </w:r>
      <w:r>
        <w:rPr>
          <w:rFonts w:ascii="Calibri" w:hAnsi="Calibri" w:eastAsia="Calibri" w:cs="Calibri"/>
          <w:i/>
          <w:iCs/>
          <w:color w:val="000000"/>
          <w:sz w:val="22"/>
          <w:szCs w:val="22"/>
        </w:rPr>
        <w:t xml:space="preserve"> kurstak</w:t>
      </w:r>
      <w:r>
        <w:rPr>
          <w:rFonts w:ascii="Calibri" w:hAnsi="Calibri" w:eastAsia="Calibri" w:cs="Calibri"/>
          <w:i/>
          <w:iCs/>
          <w:color w:val="000000"/>
          <w:sz w:val="22"/>
          <w:szCs w:val="22"/>
        </w:rPr>
        <w:t xml:space="preserve">i</w:t>
      </w:r>
      <w:r>
        <w:rPr>
          <w:rFonts w:ascii="Calibri" w:hAnsi="Calibri" w:eastAsia="Calibri" w:cs="Calibri"/>
          <w:b/>
          <w:bCs/>
          <w:i/>
          <w:iCs/>
          <w:color w:val="000000"/>
          <w:sz w:val="22"/>
          <w:szCs w:val="22"/>
        </w:rPr>
        <w:t xml:space="preserve">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Orgyia pseudotsugata</w:t>
      </w:r>
      <w:r>
        <w:rPr>
          <w:rFonts w:ascii="Calibri" w:hAnsi="Calibri" w:eastAsia="Calibri" w:cs="Calibri"/>
          <w:color w:val="000000"/>
          <w:sz w:val="22"/>
          <w:szCs w:val="22"/>
        </w:rPr>
        <w:t xml:space="preserve"> nucleopolyhedrovirus (OrpsNPV) have been used (Cunningham &amp; Kaupp, 1995; Thurston, 2002; Baker, 2017). At a small scale and when feasible for the host concerned, removing egg-masses, larvae and cocoons can reduce the density of the pest (Isaacs &amp; van Timmeren, 2008; CABI, 2020).</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Climatic conditions are suitable for the establishment of </w:t>
      </w:r>
      <w:r>
        <w:rPr>
          <w:rFonts w:ascii="Calibri" w:hAnsi="Calibri" w:eastAsia="Calibri" w:cs="Calibri"/>
          <w:i/>
          <w:iCs/>
          <w:color w:val="000000"/>
          <w:sz w:val="22"/>
          <w:szCs w:val="22"/>
        </w:rPr>
        <w:t xml:space="preserve">O. leucostigma</w:t>
      </w:r>
      <w:r>
        <w:rPr>
          <w:rFonts w:ascii="Calibri" w:hAnsi="Calibri" w:eastAsia="Calibri" w:cs="Calibri"/>
          <w:color w:val="000000"/>
          <w:sz w:val="22"/>
          <w:szCs w:val="22"/>
        </w:rPr>
        <w:t xml:space="preserve"> in a large part of the EPPO region, at least from temperate oceanic Europe to the Russian Federation (EPPO, 2021). Host plants of </w:t>
      </w:r>
      <w:r>
        <w:rPr>
          <w:rFonts w:ascii="Calibri" w:hAnsi="Calibri" w:eastAsia="Calibri" w:cs="Calibri"/>
          <w:i/>
          <w:iCs/>
          <w:color w:val="000000"/>
          <w:sz w:val="22"/>
          <w:szCs w:val="22"/>
        </w:rPr>
        <w:t xml:space="preserve">O. leucostigma</w:t>
      </w:r>
      <w:r>
        <w:rPr>
          <w:rFonts w:ascii="Calibri" w:hAnsi="Calibri" w:eastAsia="Calibri" w:cs="Calibri"/>
          <w:color w:val="000000"/>
          <w:sz w:val="22"/>
          <w:szCs w:val="22"/>
        </w:rPr>
        <w:t xml:space="preserve"> occur throughout the EPPO region in different environments including deciduous and coniferous forests, as well as plantations (especially Christmas trees), orchards and gardens (fruit trees and ornamentals), urban areas (ornamentals), in the wild and as weeds. The eastern and northern parts of the EPPO region are considered more at risk, because climate is similar to where </w:t>
      </w:r>
      <w:r>
        <w:rPr>
          <w:rFonts w:ascii="Calibri" w:hAnsi="Calibri" w:eastAsia="Calibri" w:cs="Calibri"/>
          <w:i/>
          <w:iCs/>
          <w:color w:val="000000"/>
          <w:sz w:val="22"/>
          <w:szCs w:val="22"/>
        </w:rPr>
        <w:t xml:space="preserve">O. leucostigma</w:t>
      </w:r>
      <w:r>
        <w:rPr>
          <w:rFonts w:ascii="Calibri" w:hAnsi="Calibri" w:eastAsia="Calibri" w:cs="Calibri"/>
          <w:color w:val="000000"/>
          <w:sz w:val="22"/>
          <w:szCs w:val="22"/>
        </w:rPr>
        <w:t xml:space="preserve"> has caused economic damage in its current distribution. In forests, both economic and environmental impacts may occur. As in North America, impact may fluctuate depending on locations and years. Some known natural enemies are present in the EPPO region, but the same natural enemy complex that exists and regulates populations in North America does not occur in the EPPO region. In some environments, treatment options may be limited. Nevertheless, some plant protection products that have been used in North America are registered in at least part of the EPPO region for some uses, including microbial plant protection products such as </w:t>
      </w:r>
      <w:r>
        <w:rPr>
          <w:rFonts w:ascii="Calibri" w:hAnsi="Calibri" w:eastAsia="Calibri" w:cs="Calibri"/>
          <w:i/>
          <w:iCs/>
          <w:color w:val="000000"/>
          <w:sz w:val="22"/>
          <w:szCs w:val="22"/>
        </w:rPr>
        <w:t xml:space="preserve">Bacillus thuringiensis</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kurstaki</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Measures are recommended for main woody hosts (EPPO, 2021). The EPPO PRA recommended similar options for plants for planting (except seeds, bulbs, corms, tubers, rhizomes, tissue cultures, pollen) and cut branches (incl. Christmas trees) of main hosts: pest free area, pest free production site under complete physical isolation according to EPPO Standard PM 5/8 (EPPO, 2016), and pest free place of production/pest-free production site (including visual inspection of the plants throughout the growing period, pheromone trapping, a 1 km buffer zone and visual inspection of consignments). Where relevant, packaging should prevent infestation during storage and transport. </w:t>
      </w:r>
    </w:p>
    <w:p>
      <w:pPr>
        <w:widowControl w:val="on"/>
        <w:pBdr/>
        <w:spacing w:before="220" w:after="220" w:line="240" w:lineRule="auto"/>
        <w:ind w:left="0" w:right="0"/>
        <w:jc w:val="both"/>
      </w:pPr>
      <w:r>
        <w:rPr>
          <w:rFonts w:ascii="Calibri" w:hAnsi="Calibri" w:eastAsia="Calibri" w:cs="Calibri"/>
          <w:color w:val="000000"/>
          <w:sz w:val="22"/>
          <w:szCs w:val="22"/>
        </w:rPr>
        <w:t xml:space="preserve">For round wood and sawn wood with bark of main hosts, options include pest free area, heat treatment according to EPPO Standard PM 10/6(1) (EPPO, 2009a), irradiation treatment according to EPPO Standard PM 10/8(1) (EPPO, 2009b), bark freedom, or debarking associated with ISPM 28 PT 22 Sulfuryl fluoride fumigation treatment for insects in debarked wood (FAO, 2017a) or with PT 23 Sulfuryl fluoride fumigation treatment for nematodes and insects in debarked wood (FAO, 2017b). Finally, a pest free area or chipping to pieces of less than 2.5 cm in any dimension are possible options for isolated bark of main hosts.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Armstrong KF &amp; Ball SL (2005) DNA barcodes for biosecurity: invasive species identification. </w:t>
      </w:r>
      <w:r>
        <w:rPr>
          <w:rFonts w:ascii="Calibri" w:hAnsi="Calibri" w:eastAsia="Calibri" w:cs="Calibri"/>
          <w:i/>
          <w:iCs/>
          <w:color w:val="000000"/>
          <w:sz w:val="22"/>
          <w:szCs w:val="22"/>
        </w:rPr>
        <w:t xml:space="preserve">Philosophical transactions of the Royal Society of London. Series B, Biological 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360</w:t>
      </w:r>
      <w:r>
        <w:rPr>
          <w:rFonts w:ascii="Calibri" w:hAnsi="Calibri" w:eastAsia="Calibri" w:cs="Calibri"/>
          <w:color w:val="000000"/>
          <w:sz w:val="22"/>
          <w:szCs w:val="22"/>
        </w:rPr>
        <w:t xml:space="preserve">(1462), 1813–1823.</w:t>
      </w:r>
    </w:p>
    <w:p>
      <w:pPr>
        <w:widowControl w:val="on"/>
        <w:pBdr/>
        <w:spacing w:before="220" w:after="220" w:line="240" w:lineRule="auto"/>
        <w:ind w:left="0" w:right="0"/>
        <w:jc w:val="left"/>
      </w:pPr>
      <w:r>
        <w:rPr>
          <w:rFonts w:ascii="Calibri" w:hAnsi="Calibri" w:eastAsia="Calibri" w:cs="Calibri"/>
          <w:color w:val="000000"/>
          <w:sz w:val="22"/>
          <w:szCs w:val="22"/>
        </w:rPr>
        <w:t xml:space="preserve">Armstrong KF, McHugh P, Chinn W, Frampton ER &amp; Walsh PJ (2003) Tussock moth species arriving on imported used vehicles determined by DNA analysis. </w:t>
      </w:r>
      <w:r>
        <w:rPr>
          <w:rFonts w:ascii="Calibri" w:hAnsi="Calibri" w:eastAsia="Calibri" w:cs="Calibri"/>
          <w:i/>
          <w:iCs/>
          <w:color w:val="000000"/>
          <w:sz w:val="22"/>
          <w:szCs w:val="22"/>
        </w:rPr>
        <w:t xml:space="preserve">New Zealand Plant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 16-20.</w:t>
      </w:r>
    </w:p>
    <w:p>
      <w:pPr>
        <w:widowControl w:val="on"/>
        <w:pBdr/>
        <w:spacing w:before="220" w:after="220" w:line="240" w:lineRule="auto"/>
        <w:ind w:left="0" w:right="0"/>
        <w:jc w:val="left"/>
      </w:pPr>
      <w:r>
        <w:rPr>
          <w:rFonts w:ascii="Calibri" w:hAnsi="Calibri" w:eastAsia="Calibri" w:cs="Calibri"/>
          <w:color w:val="000000"/>
          <w:sz w:val="22"/>
          <w:szCs w:val="22"/>
        </w:rPr>
        <w:t xml:space="preserve">Baker J (2017) </w:t>
      </w:r>
      <w:r>
        <w:rPr>
          <w:rFonts w:ascii="Calibri" w:hAnsi="Calibri" w:eastAsia="Calibri" w:cs="Calibri"/>
          <w:i/>
          <w:iCs/>
          <w:color w:val="000000"/>
          <w:sz w:val="22"/>
          <w:szCs w:val="22"/>
        </w:rPr>
        <w:t xml:space="preserve">Whitemarked tussock moth</w:t>
      </w:r>
      <w:r>
        <w:rPr>
          <w:rFonts w:ascii="Calibri" w:hAnsi="Calibri" w:eastAsia="Calibri" w:cs="Calibri"/>
          <w:color w:val="000000"/>
          <w:sz w:val="22"/>
          <w:szCs w:val="22"/>
        </w:rPr>
        <w:t xml:space="preserve">. PDIC Factsheets. https://content.ces.ncsu.edu/whitemarked-tussock-moth (Accessed on 2April 2025)</w:t>
      </w:r>
    </w:p>
    <w:p>
      <w:pPr>
        <w:widowControl w:val="on"/>
        <w:pBdr/>
        <w:spacing w:before="220" w:after="220" w:line="240" w:lineRule="auto"/>
        <w:ind w:left="0" w:right="0"/>
        <w:jc w:val="left"/>
      </w:pPr>
      <w:r>
        <w:rPr>
          <w:rFonts w:ascii="Calibri" w:hAnsi="Calibri" w:eastAsia="Calibri" w:cs="Calibri"/>
          <w:color w:val="000000"/>
          <w:sz w:val="22"/>
          <w:szCs w:val="22"/>
        </w:rPr>
        <w:t xml:space="preserve">Ball SL &amp; Armstrong KF (2006) DNA barcodes for insect pest identification: a test case with tussock moths (Lepidoptera: Lymantriidae). </w:t>
      </w:r>
      <w:r>
        <w:rPr>
          <w:rFonts w:ascii="Calibri" w:hAnsi="Calibri" w:eastAsia="Calibri" w:cs="Calibri"/>
          <w:i/>
          <w:iCs/>
          <w:color w:val="000000"/>
          <w:sz w:val="22"/>
          <w:szCs w:val="22"/>
        </w:rPr>
        <w:t xml:space="preserve">Canadian Journal of Forest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(2), 337-350.</w:t>
      </w:r>
    </w:p>
    <w:p>
      <w:pPr>
        <w:widowControl w:val="on"/>
        <w:pBdr/>
        <w:spacing w:before="220" w:after="220" w:line="240" w:lineRule="auto"/>
        <w:ind w:left="0" w:right="0"/>
        <w:jc w:val="left"/>
      </w:pPr>
      <w:r>
        <w:rPr>
          <w:rFonts w:ascii="Calibri" w:hAnsi="Calibri" w:eastAsia="Calibri" w:cs="Calibri"/>
          <w:color w:val="000000"/>
          <w:sz w:val="22"/>
          <w:szCs w:val="22"/>
        </w:rPr>
        <w:t xml:space="preserve">Barnard EL &amp; Dixon WN (1983) </w:t>
      </w:r>
      <w:r>
        <w:rPr>
          <w:rFonts w:ascii="Calibri" w:hAnsi="Calibri" w:eastAsia="Calibri" w:cs="Calibri"/>
          <w:i/>
          <w:iCs/>
          <w:color w:val="000000"/>
          <w:sz w:val="22"/>
          <w:szCs w:val="22"/>
        </w:rPr>
        <w:t xml:space="preserve">Insects and diseases: Important problems of Florida’s forest and shade tree resources</w:t>
      </w:r>
      <w:r>
        <w:rPr>
          <w:rFonts w:ascii="Calibri" w:hAnsi="Calibri" w:eastAsia="Calibri" w:cs="Calibri"/>
          <w:color w:val="000000"/>
          <w:sz w:val="22"/>
          <w:szCs w:val="22"/>
        </w:rPr>
        <w:t xml:space="preserve">.Florida Forest Service Bulletin No. 196-A. 102 pp.</w:t>
      </w:r>
    </w:p>
    <w:p>
      <w:pPr>
        <w:widowControl w:val="on"/>
        <w:pBdr/>
        <w:spacing w:before="220" w:after="220" w:line="240" w:lineRule="auto"/>
        <w:ind w:left="0" w:right="0"/>
        <w:jc w:val="left"/>
      </w:pPr>
      <w:r>
        <w:rPr>
          <w:rFonts w:ascii="Calibri" w:hAnsi="Calibri" w:eastAsia="Calibri" w:cs="Calibri"/>
          <w:color w:val="000000"/>
          <w:sz w:val="22"/>
          <w:szCs w:val="22"/>
        </w:rPr>
        <w:t xml:space="preserve">Barro A &amp; Núñez R (2011) </w:t>
      </w:r>
      <w:r>
        <w:rPr>
          <w:rFonts w:ascii="Calibri" w:hAnsi="Calibri" w:eastAsia="Calibri" w:cs="Calibri"/>
          <w:i/>
          <w:iCs/>
          <w:color w:val="000000"/>
          <w:sz w:val="22"/>
          <w:szCs w:val="22"/>
        </w:rPr>
        <w:t xml:space="preserve">Lepidópteros de Cuba</w:t>
      </w:r>
      <w:r>
        <w:rPr>
          <w:rFonts w:ascii="Calibri" w:hAnsi="Calibri" w:eastAsia="Calibri" w:cs="Calibri"/>
          <w:color w:val="000000"/>
          <w:sz w:val="22"/>
          <w:szCs w:val="22"/>
        </w:rPr>
        <w:t xml:space="preserve">. Spartacus Foundation y la Sociedad Cubana de Zoología.</w:t>
      </w:r>
    </w:p>
    <w:p>
      <w:pPr>
        <w:widowControl w:val="on"/>
        <w:pBdr/>
        <w:spacing w:before="220" w:after="220" w:line="240" w:lineRule="auto"/>
        <w:ind w:left="0" w:right="0"/>
        <w:jc w:val="left"/>
      </w:pPr>
      <w:r>
        <w:rPr>
          <w:rFonts w:ascii="Calibri" w:hAnsi="Calibri" w:eastAsia="Calibri" w:cs="Calibri"/>
          <w:color w:val="000000"/>
          <w:sz w:val="22"/>
          <w:szCs w:val="22"/>
        </w:rPr>
        <w:t xml:space="preserve">Belton EM (1988) </w:t>
      </w:r>
      <w:r>
        <w:rPr>
          <w:rFonts w:ascii="Calibri" w:hAnsi="Calibri" w:eastAsia="Calibri" w:cs="Calibri"/>
          <w:i/>
          <w:iCs/>
          <w:color w:val="000000"/>
          <w:sz w:val="22"/>
          <w:szCs w:val="22"/>
        </w:rPr>
        <w:t xml:space="preserve">Lepidoptera on fruit crops in Canada</w:t>
      </w:r>
      <w:r>
        <w:rPr>
          <w:rFonts w:ascii="Calibri" w:hAnsi="Calibri" w:eastAsia="Calibri" w:cs="Calibri"/>
          <w:color w:val="000000"/>
          <w:sz w:val="22"/>
          <w:szCs w:val="22"/>
        </w:rPr>
        <w:t xml:space="preserve">. Simon Fraser University, Dept. of Biological Sciences, Pest Management Program, Burnaby, BC. 105 pp.</w:t>
      </w:r>
    </w:p>
    <w:p>
      <w:pPr>
        <w:widowControl w:val="on"/>
        <w:pBdr/>
        <w:spacing w:before="220" w:after="220" w:line="240" w:lineRule="auto"/>
        <w:ind w:left="0" w:right="0"/>
        <w:jc w:val="left"/>
      </w:pPr>
      <w:r>
        <w:rPr>
          <w:rFonts w:ascii="Calibri" w:hAnsi="Calibri" w:eastAsia="Calibri" w:cs="Calibri"/>
          <w:color w:val="000000"/>
          <w:sz w:val="22"/>
          <w:szCs w:val="22"/>
        </w:rPr>
        <w:t xml:space="preserve">Boggs J (2019) </w:t>
      </w:r>
      <w:r>
        <w:rPr>
          <w:rFonts w:ascii="Calibri" w:hAnsi="Calibri" w:eastAsia="Calibri" w:cs="Calibri"/>
          <w:i/>
          <w:iCs/>
          <w:color w:val="000000"/>
          <w:sz w:val="22"/>
          <w:szCs w:val="22"/>
        </w:rPr>
        <w:t xml:space="preserve">White-marked tussock moth caterpillar outbreaks</w:t>
      </w:r>
      <w:r>
        <w:rPr>
          <w:rFonts w:ascii="Calibri" w:hAnsi="Calibri" w:eastAsia="Calibri" w:cs="Calibri"/>
          <w:color w:val="000000"/>
          <w:sz w:val="22"/>
          <w:szCs w:val="22"/>
        </w:rPr>
        <w:t xml:space="preserve">. The Ohio State University https://bygl.osu.edu/node/1324 (Accessed on 2 April 2025)</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(2020) </w:t>
      </w:r>
      <w:r>
        <w:rPr>
          <w:rFonts w:ascii="Calibri" w:hAnsi="Calibri" w:eastAsia="Calibri" w:cs="Calibri"/>
          <w:i/>
          <w:iCs/>
          <w:color w:val="000000"/>
          <w:sz w:val="22"/>
          <w:szCs w:val="22"/>
        </w:rPr>
        <w:t xml:space="preserve">Orgyia leucostigma</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Crop Protection Compendium</w:t>
      </w:r>
      <w:r>
        <w:rPr>
          <w:rFonts w:ascii="Calibri" w:hAnsi="Calibri" w:eastAsia="Calibri" w:cs="Calibri"/>
          <w:color w:val="000000"/>
          <w:sz w:val="22"/>
          <w:szCs w:val="22"/>
        </w:rPr>
        <w:t xml:space="preserve">. Wallingford, GB: CAB International. www.cabi.org/cpc (Accessed on 2 April 2025)</w:t>
      </w:r>
    </w:p>
    <w:p>
      <w:pPr>
        <w:widowControl w:val="on"/>
        <w:pBdr/>
        <w:spacing w:before="220" w:after="220" w:line="240" w:lineRule="auto"/>
        <w:ind w:left="0" w:right="0"/>
        <w:jc w:val="left"/>
      </w:pPr>
      <w:r>
        <w:rPr>
          <w:rFonts w:ascii="Calibri" w:hAnsi="Calibri" w:eastAsia="Calibri" w:cs="Calibri"/>
          <w:color w:val="000000"/>
          <w:sz w:val="22"/>
          <w:szCs w:val="22"/>
        </w:rPr>
        <w:t xml:space="preserve">Cunningham JC &amp; Kaupp WJ (1995). </w:t>
      </w:r>
      <w:r>
        <w:rPr>
          <w:rFonts w:ascii="Calibri" w:hAnsi="Calibri" w:eastAsia="Calibri" w:cs="Calibri"/>
          <w:i/>
          <w:iCs/>
          <w:color w:val="000000"/>
          <w:sz w:val="22"/>
          <w:szCs w:val="22"/>
        </w:rPr>
        <w:t xml:space="preserve">Insect viruses</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Forest Pest Insects in Canada</w:t>
      </w:r>
      <w:r>
        <w:rPr>
          <w:rFonts w:ascii="Calibri" w:hAnsi="Calibri" w:eastAsia="Calibri" w:cs="Calibri"/>
          <w:color w:val="000000"/>
          <w:sz w:val="22"/>
          <w:szCs w:val="22"/>
        </w:rPr>
        <w:t xml:space="preserve">. Natural Resources Canada, Ottawa, 327–340.</w:t>
      </w:r>
    </w:p>
    <w:p>
      <w:pPr>
        <w:widowControl w:val="on"/>
        <w:pBdr/>
        <w:spacing w:before="220" w:after="220" w:line="240" w:lineRule="auto"/>
        <w:ind w:left="0" w:right="0"/>
        <w:jc w:val="left"/>
      </w:pPr>
      <w:r>
        <w:rPr>
          <w:rFonts w:ascii="Calibri" w:hAnsi="Calibri" w:eastAsia="Calibri" w:cs="Calibri"/>
          <w:color w:val="000000"/>
          <w:sz w:val="22"/>
          <w:szCs w:val="22"/>
        </w:rPr>
        <w:t xml:space="preserve">Daterman GE, Livingston RL &amp; Robbins RG (1977) </w:t>
      </w:r>
      <w:r>
        <w:rPr>
          <w:rFonts w:ascii="Calibri" w:hAnsi="Calibri" w:eastAsia="Calibri" w:cs="Calibri"/>
          <w:i/>
          <w:iCs/>
          <w:color w:val="000000"/>
          <w:sz w:val="22"/>
          <w:szCs w:val="22"/>
        </w:rPr>
        <w:t xml:space="preserve">How to identify tussock moths caught in pheromone traps.</w:t>
      </w:r>
      <w:r>
        <w:rPr>
          <w:rFonts w:ascii="Calibri" w:hAnsi="Calibri" w:eastAsia="Calibri" w:cs="Calibri"/>
          <w:color w:val="000000"/>
          <w:sz w:val="22"/>
          <w:szCs w:val="22"/>
        </w:rPr>
        <w:t xml:space="preserve"> USDA Agriculture Handbook 517. 15 pp. https://hdl.handle.net/2027/uiug.30112019256038 (Accessed on 2 April 2025).</w:t>
      </w:r>
    </w:p>
    <w:p>
      <w:pPr>
        <w:widowControl w:val="on"/>
        <w:pBdr/>
        <w:spacing w:before="220" w:after="220" w:line="240" w:lineRule="auto"/>
        <w:ind w:left="0" w:right="0"/>
        <w:jc w:val="left"/>
      </w:pPr>
      <w:r>
        <w:rPr>
          <w:rFonts w:ascii="Calibri" w:hAnsi="Calibri" w:eastAsia="Calibri" w:cs="Calibri"/>
          <w:color w:val="000000"/>
          <w:sz w:val="22"/>
          <w:szCs w:val="22"/>
        </w:rPr>
        <w:t xml:space="preserve">Dedes J (2014) </w:t>
      </w:r>
      <w:r>
        <w:rPr>
          <w:rFonts w:ascii="Calibri" w:hAnsi="Calibri" w:eastAsia="Calibri" w:cs="Calibri"/>
          <w:i/>
          <w:iCs/>
          <w:color w:val="000000"/>
          <w:sz w:val="22"/>
          <w:szCs w:val="22"/>
        </w:rPr>
        <w:t xml:space="preserve">Whitemarked tussock moth (Orgyia leucostigma).</w:t>
      </w:r>
      <w:r>
        <w:rPr>
          <w:rFonts w:ascii="Calibri" w:hAnsi="Calibri" w:eastAsia="Calibri" w:cs="Calibri"/>
          <w:color w:val="000000"/>
          <w:sz w:val="22"/>
          <w:szCs w:val="22"/>
        </w:rPr>
        <w:t xml:space="preserve"> Natural Resources Canada, Canadian Forest Service, Great Lakes Forestry Centre, Sault Ste. Marie, Ontario. Insect Production Services 2 pp. </w:t>
      </w:r>
      <w:hyperlink r:id="rId48786ac1b3d2c9e5d" w:history="1">
        <w:r>
          <w:rPr>
            <w:rFonts w:ascii="Calibri" w:hAnsi="Calibri" w:eastAsia="Calibri" w:cs="Calibri"/>
            <w:color w:val="0000CC"/>
            <w:sz w:val="22"/>
            <w:szCs w:val="22"/>
            <w:u w:val="single"/>
          </w:rPr>
          <w:t xml:space="preserve">https://cfs.nrcan.gc.ca/publications?id=35692</w:t>
        </w:r>
      </w:hyperlink>
      <w:r>
        <w:rPr>
          <w:rFonts w:ascii="Calibri" w:hAnsi="Calibri" w:eastAsia="Calibri" w:cs="Calibri"/>
          <w:color w:val="000000"/>
          <w:sz w:val="22"/>
          <w:szCs w:val="22"/>
        </w:rPr>
        <w:t xml:space="preserve"> (Accessed on 16 November 2020).</w:t>
      </w:r>
    </w:p>
    <w:p>
      <w:pPr>
        <w:widowControl w:val="on"/>
        <w:pBdr/>
        <w:spacing w:before="220" w:after="220" w:line="240" w:lineRule="auto"/>
        <w:ind w:left="0" w:right="0"/>
        <w:jc w:val="left"/>
      </w:pPr>
      <w:r>
        <w:rPr>
          <w:rFonts w:ascii="Calibri" w:hAnsi="Calibri" w:eastAsia="Calibri" w:cs="Calibri"/>
          <w:color w:val="000000"/>
          <w:sz w:val="22"/>
          <w:szCs w:val="22"/>
        </w:rPr>
        <w:t xml:space="preserve">Drooz AT (1985) </w:t>
      </w:r>
      <w:r>
        <w:rPr>
          <w:rFonts w:ascii="Calibri" w:hAnsi="Calibri" w:eastAsia="Calibri" w:cs="Calibri"/>
          <w:i/>
          <w:iCs/>
          <w:color w:val="000000"/>
          <w:sz w:val="22"/>
          <w:szCs w:val="22"/>
        </w:rPr>
        <w:t xml:space="preserve">Insects of eastern forests</w:t>
      </w:r>
      <w:r>
        <w:rPr>
          <w:rFonts w:ascii="Calibri" w:hAnsi="Calibri" w:eastAsia="Calibri" w:cs="Calibri"/>
          <w:color w:val="000000"/>
          <w:sz w:val="22"/>
          <w:szCs w:val="22"/>
        </w:rPr>
        <w:t xml:space="preserve">. USDA Forest Service, Miscellaneous Publication 1426. 608 pp.</w:t>
      </w:r>
    </w:p>
    <w:p>
      <w:pPr>
        <w:widowControl w:val="on"/>
        <w:pBdr/>
        <w:spacing w:before="220" w:after="220" w:line="240" w:lineRule="auto"/>
        <w:ind w:left="0" w:right="0"/>
        <w:jc w:val="left"/>
      </w:pPr>
      <w:r>
        <w:rPr>
          <w:rFonts w:ascii="Calibri" w:hAnsi="Calibri" w:eastAsia="Calibri" w:cs="Calibri"/>
          <w:color w:val="000000"/>
          <w:sz w:val="22"/>
          <w:szCs w:val="22"/>
        </w:rPr>
        <w:t xml:space="preserve">Embree DG, Elgee DE &amp; Estabrooks GF (1984) </w:t>
      </w:r>
      <w:r>
        <w:rPr>
          <w:rFonts w:ascii="Calibri" w:hAnsi="Calibri" w:eastAsia="Calibri" w:cs="Calibri"/>
          <w:i/>
          <w:iCs/>
          <w:color w:val="000000"/>
          <w:sz w:val="22"/>
          <w:szCs w:val="22"/>
        </w:rPr>
        <w:t xml:space="preserve">Orgyia leucostigma (J.E. Smith), whitemarked tussock moth (Lepidoptera: Lymantriidae).</w:t>
      </w:r>
      <w:r>
        <w:rPr>
          <w:rFonts w:ascii="Calibri" w:hAnsi="Calibri" w:eastAsia="Calibri" w:cs="Calibri"/>
          <w:color w:val="000000"/>
          <w:sz w:val="22"/>
          <w:szCs w:val="22"/>
        </w:rPr>
        <w:t xml:space="preserve"> pp 359–361. In JS Kelleher, MA Hulme (Eds), Biological control programmes against insects and weeds in Canada 1969–1980. Slough, England: Commonwealth Agricultural Bureaux, Slough, England. 410 pp.</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(2009a) Standard PM 10/6(1) Heat treatment of wood to control insects and wood-borne nematodes.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31. https://doi.org/10.1111/j.1365-2338.2009.02227.x</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(2009b) Standard PM 10/8(1) Disinfestation of wood with ionizing radiation.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34–35. https://doi.org/10.1111/j.1365-2338.2009.02229.x</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(2016) Standard PM 5/8 (1) Guidelines on the phytosanitary measure ‘Plants grown under complete physical isolation’.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421–423. https://doi.org/10.1111/epp.12340</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(2021) EPPO Technical Document No. 1082. Pest risk analysis for </w:t>
      </w:r>
      <w:r>
        <w:rPr>
          <w:rFonts w:ascii="Calibri" w:hAnsi="Calibri" w:eastAsia="Calibri" w:cs="Calibri"/>
          <w:i/>
          <w:iCs/>
          <w:color w:val="000000"/>
          <w:sz w:val="22"/>
          <w:szCs w:val="22"/>
        </w:rPr>
        <w:t xml:space="preserve">Orgyia leucostigma</w:t>
      </w:r>
      <w:r>
        <w:rPr>
          <w:rFonts w:ascii="Calibri" w:hAnsi="Calibri" w:eastAsia="Calibri" w:cs="Calibri"/>
          <w:color w:val="000000"/>
          <w:sz w:val="22"/>
          <w:szCs w:val="22"/>
        </w:rPr>
        <w:t xml:space="preserve">. EPPO, Paris. Available at </w:t>
      </w:r>
      <w:hyperlink r:id="rId46216ac1b3d2ca053" w:history="1">
        <w:r>
          <w:rPr>
            <w:rFonts w:ascii="Calibri" w:hAnsi="Calibri" w:eastAsia="Calibri" w:cs="Calibri"/>
            <w:color w:val="0000CC"/>
            <w:sz w:val="22"/>
            <w:szCs w:val="22"/>
            <w:u w:val="single"/>
          </w:rPr>
          <w:t xml:space="preserve">https://gd.eppo.int/taxon/HEMELE/documents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Ezzine O, Hausmann A, Branco M, Mannai Y, Dhahri S, Nouira S &amp; Ben Jamâa ML (2014). Genetic patterns, host use and larval morphology in Tunisian populations of </w:t>
      </w:r>
      <w:r>
        <w:rPr>
          <w:rFonts w:ascii="Calibri" w:hAnsi="Calibri" w:eastAsia="Calibri" w:cs="Calibri"/>
          <w:i/>
          <w:iCs/>
          <w:color w:val="000000"/>
          <w:sz w:val="22"/>
          <w:szCs w:val="22"/>
        </w:rPr>
        <w:t xml:space="preserve">Orgyia trigotephras</w:t>
      </w:r>
      <w:r>
        <w:rPr>
          <w:rFonts w:ascii="Calibri" w:hAnsi="Calibri" w:eastAsia="Calibri" w:cs="Calibri"/>
          <w:color w:val="000000"/>
          <w:sz w:val="22"/>
          <w:szCs w:val="22"/>
        </w:rPr>
        <w:t xml:space="preserve"> Boisduval 1829 (Erebidae Lymantriinae). </w:t>
      </w:r>
      <w:r>
        <w:rPr>
          <w:rFonts w:ascii="Calibri" w:hAnsi="Calibri" w:eastAsia="Calibri" w:cs="Calibri"/>
          <w:i/>
          <w:iCs/>
          <w:color w:val="000000"/>
          <w:sz w:val="22"/>
          <w:szCs w:val="22"/>
        </w:rPr>
        <w:t xml:space="preserve">Bulletin of Insectology</w:t>
      </w:r>
      <w:r>
        <w:rPr>
          <w:rFonts w:ascii="Calibri" w:hAnsi="Calibri" w:eastAsia="Calibri" w:cs="Calibri"/>
          <w:color w:val="000000"/>
          <w:sz w:val="22"/>
          <w:szCs w:val="22"/>
        </w:rPr>
        <w:t xml:space="preserve">, 67 (1), 73-79.</w:t>
      </w:r>
    </w:p>
    <w:p>
      <w:pPr>
        <w:widowControl w:val="on"/>
        <w:pBdr/>
        <w:spacing w:before="220" w:after="220" w:line="240" w:lineRule="auto"/>
        <w:ind w:left="0" w:right="0"/>
        <w:jc w:val="left"/>
      </w:pPr>
      <w:r>
        <w:rPr>
          <w:rFonts w:ascii="Calibri" w:hAnsi="Calibri" w:eastAsia="Calibri" w:cs="Calibri"/>
          <w:color w:val="000000"/>
          <w:sz w:val="22"/>
          <w:szCs w:val="22"/>
        </w:rPr>
        <w:t xml:space="preserve">FAO (2017a) ISPM 28. Annex 22. Sulphuryl fluoride fumigation treatment for insects in debarked wood. Rome, IPPC, FAO. Available at </w:t>
      </w:r>
      <w:hyperlink r:id="rId73416ac1b3d2ca0e7" w:history="1">
        <w:r>
          <w:rPr>
            <w:rFonts w:ascii="Calibri" w:hAnsi="Calibri" w:eastAsia="Calibri" w:cs="Calibri"/>
            <w:color w:val="0000CC"/>
            <w:sz w:val="22"/>
            <w:szCs w:val="22"/>
            <w:u w:val="single"/>
          </w:rPr>
          <w:t xml:space="preserve">www.ippc.int</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FAO (2017b) ISPM 28. Annex 23. Sulphuryl fluoride fumigation treatment for nematodes and insects in debarked wood. Rome, IPPC, FAO. Available at </w:t>
      </w:r>
      <w:hyperlink r:id="rId53196ac1b3d2ca119" w:history="1">
        <w:r>
          <w:rPr>
            <w:rFonts w:ascii="Calibri" w:hAnsi="Calibri" w:eastAsia="Calibri" w:cs="Calibri"/>
            <w:color w:val="0000CC"/>
            <w:sz w:val="22"/>
            <w:szCs w:val="22"/>
            <w:u w:val="single"/>
          </w:rPr>
          <w:t xml:space="preserve">www.ippc.int</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Ferguson DC (1978) Noctuoidea, Lymantriidae. In: Dominick RB et al., eds. The moths of America north of Mexico (including Greenland), Vol. 22.2. London, GB: E.W. Classey.</w:t>
      </w:r>
    </w:p>
    <w:p>
      <w:pPr>
        <w:widowControl w:val="on"/>
        <w:pBdr/>
        <w:spacing w:before="220" w:after="220" w:line="240" w:lineRule="auto"/>
        <w:ind w:left="0" w:right="0"/>
        <w:jc w:val="left"/>
      </w:pPr>
      <w:r>
        <w:rPr>
          <w:rFonts w:ascii="Calibri" w:hAnsi="Calibri" w:eastAsia="Calibri" w:cs="Calibri"/>
          <w:color w:val="000000"/>
          <w:sz w:val="22"/>
          <w:szCs w:val="22"/>
        </w:rPr>
        <w:t xml:space="preserve">Furniss RL &amp; Carolin VM (2002) </w:t>
      </w:r>
      <w:r>
        <w:rPr>
          <w:rFonts w:ascii="Calibri" w:hAnsi="Calibri" w:eastAsia="Calibri" w:cs="Calibri"/>
          <w:i/>
          <w:iCs/>
          <w:color w:val="000000"/>
          <w:sz w:val="22"/>
          <w:szCs w:val="22"/>
        </w:rPr>
        <w:t xml:space="preserve">Western forest insects</w:t>
      </w:r>
      <w:r>
        <w:rPr>
          <w:rFonts w:ascii="Calibri" w:hAnsi="Calibri" w:eastAsia="Calibri" w:cs="Calibri"/>
          <w:color w:val="000000"/>
          <w:sz w:val="22"/>
          <w:szCs w:val="22"/>
        </w:rPr>
        <w:t xml:space="preserve">. United States Department of Agriculture Forest Service Miscellaneous Publication No. 1339 (Issued November 1977). 654 pp.</w:t>
      </w:r>
    </w:p>
    <w:p>
      <w:pPr>
        <w:widowControl w:val="on"/>
        <w:pBdr/>
        <w:spacing w:before="220" w:after="220" w:line="240" w:lineRule="auto"/>
        <w:ind w:left="0" w:right="0"/>
        <w:jc w:val="left"/>
      </w:pPr>
      <w:r>
        <w:rPr>
          <w:rFonts w:ascii="Calibri" w:hAnsi="Calibri" w:eastAsia="Calibri" w:cs="Calibri"/>
          <w:color w:val="000000"/>
          <w:sz w:val="22"/>
          <w:szCs w:val="22"/>
        </w:rPr>
        <w:t xml:space="preserve">Grant GG, Slessor KN, Liu W &amp; Abou-Zaid MM (2003) (Z,Z)-6,9-Heneicosadien-11-one, labile sex pheromone of the whitemarked tussock moth, </w:t>
      </w:r>
      <w:r>
        <w:rPr>
          <w:rFonts w:ascii="Calibri" w:hAnsi="Calibri" w:eastAsia="Calibri" w:cs="Calibri"/>
          <w:i/>
          <w:iCs/>
          <w:color w:val="000000"/>
          <w:sz w:val="22"/>
          <w:szCs w:val="22"/>
        </w:rPr>
        <w:t xml:space="preserve">Orgyia leucostigma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Chemical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589-601.</w:t>
      </w:r>
    </w:p>
    <w:p>
      <w:pPr>
        <w:widowControl w:val="on"/>
        <w:pBdr/>
        <w:spacing w:before="220" w:after="220" w:line="240" w:lineRule="auto"/>
        <w:ind w:left="0" w:right="0"/>
        <w:jc w:val="left"/>
      </w:pPr>
      <w:r>
        <w:rPr>
          <w:rFonts w:ascii="Calibri" w:hAnsi="Calibri" w:eastAsia="Calibri" w:cs="Calibri"/>
          <w:color w:val="000000"/>
          <w:sz w:val="22"/>
          <w:szCs w:val="22"/>
        </w:rPr>
        <w:t xml:space="preserve">Hall DW &amp; Buss L (2014) </w:t>
      </w:r>
      <w:r>
        <w:rPr>
          <w:rFonts w:ascii="Calibri" w:hAnsi="Calibri" w:eastAsia="Calibri" w:cs="Calibri"/>
          <w:i/>
          <w:iCs/>
          <w:color w:val="000000"/>
          <w:sz w:val="22"/>
          <w:szCs w:val="22"/>
        </w:rPr>
        <w:t xml:space="preserve">Fir Tussock Moth </w:t>
      </w:r>
      <w:r>
        <w:rPr>
          <w:rFonts w:ascii="Calibri" w:hAnsi="Calibri" w:eastAsia="Calibri" w:cs="Calibri"/>
          <w:color w:val="000000"/>
          <w:sz w:val="22"/>
          <w:szCs w:val="22"/>
        </w:rPr>
        <w:t xml:space="preserve">Orgyia detrita</w:t>
      </w:r>
      <w:r>
        <w:rPr>
          <w:rFonts w:ascii="Calibri" w:hAnsi="Calibri" w:eastAsia="Calibri" w:cs="Calibri"/>
          <w:i/>
          <w:iCs/>
          <w:color w:val="000000"/>
          <w:sz w:val="22"/>
          <w:szCs w:val="22"/>
        </w:rPr>
        <w:t xml:space="preserve">Guérin-Méneville, 1831 (Lepidoptera: Erebidae: Lymantriinae)</w:t>
      </w:r>
      <w:r>
        <w:rPr>
          <w:rFonts w:ascii="Calibri" w:hAnsi="Calibri" w:eastAsia="Calibri" w:cs="Calibri"/>
          <w:color w:val="000000"/>
          <w:sz w:val="22"/>
          <w:szCs w:val="22"/>
        </w:rPr>
        <w:t xml:space="preserve">. Featured creatures. Entomology and Nematology Department, University of Florida. https://edis.ifas.ufl.edu/publication/IN1032 (Accessed on 2 April 2025)</w:t>
      </w:r>
    </w:p>
    <w:p>
      <w:pPr>
        <w:widowControl w:val="on"/>
        <w:pBdr/>
        <w:spacing w:before="220" w:after="220" w:line="240" w:lineRule="auto"/>
        <w:ind w:left="0" w:right="0"/>
        <w:jc w:val="left"/>
      </w:pPr>
      <w:r>
        <w:rPr>
          <w:rFonts w:ascii="Calibri" w:hAnsi="Calibri" w:eastAsia="Calibri" w:cs="Calibri"/>
          <w:color w:val="000000"/>
          <w:sz w:val="22"/>
          <w:szCs w:val="22"/>
        </w:rPr>
        <w:t xml:space="preserve">Hancock J (1893) The white-marked tussock-moth (</w:t>
      </w:r>
      <w:r>
        <w:rPr>
          <w:rFonts w:ascii="Calibri" w:hAnsi="Calibri" w:eastAsia="Calibri" w:cs="Calibri"/>
          <w:i/>
          <w:iCs/>
          <w:color w:val="000000"/>
          <w:sz w:val="22"/>
          <w:szCs w:val="22"/>
        </w:rPr>
        <w:t xml:space="preserve">Orgyia leucostigma</w:t>
      </w:r>
      <w:r>
        <w:rPr>
          <w:rFonts w:ascii="Calibri" w:hAnsi="Calibri" w:eastAsia="Calibri" w:cs="Calibri"/>
          <w:color w:val="000000"/>
          <w:sz w:val="22"/>
          <w:szCs w:val="22"/>
        </w:rPr>
        <w:t xml:space="preserve"> Smith and Abbott) in Chicago. </w:t>
      </w:r>
      <w:r>
        <w:rPr>
          <w:rFonts w:ascii="Calibri" w:hAnsi="Calibri" w:eastAsia="Calibri" w:cs="Calibri"/>
          <w:i/>
          <w:iCs/>
          <w:color w:val="000000"/>
          <w:sz w:val="22"/>
          <w:szCs w:val="22"/>
        </w:rPr>
        <w:t xml:space="preserve">The American Naturalist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 326-328.Isaacs R &amp; van Timmeren S (2008) </w:t>
      </w:r>
      <w:r>
        <w:rPr>
          <w:rFonts w:ascii="Calibri" w:hAnsi="Calibri" w:eastAsia="Calibri" w:cs="Calibri"/>
          <w:i/>
          <w:iCs/>
          <w:color w:val="000000"/>
          <w:sz w:val="22"/>
          <w:szCs w:val="22"/>
        </w:rPr>
        <w:t xml:space="preserve">Tussock moth monitoring and control in blueberries</w:t>
      </w:r>
      <w:r>
        <w:rPr>
          <w:rFonts w:ascii="Calibri" w:hAnsi="Calibri" w:eastAsia="Calibri" w:cs="Calibri"/>
          <w:color w:val="000000"/>
          <w:sz w:val="22"/>
          <w:szCs w:val="22"/>
        </w:rPr>
        <w:t xml:space="preserve">. Michigan State University Extension, Department of Entomology. https://www.canr.msu.edu/news/tussock_moth_monitoring_and_control_in_blueberries (Accessed on 2 April 2025)</w:t>
      </w:r>
    </w:p>
    <w:p>
      <w:pPr>
        <w:widowControl w:val="on"/>
        <w:pBdr/>
        <w:spacing w:before="220" w:after="220" w:line="240" w:lineRule="auto"/>
        <w:ind w:left="0" w:right="0"/>
        <w:jc w:val="left"/>
      </w:pPr>
      <w:r>
        <w:rPr>
          <w:rFonts w:ascii="Calibri" w:hAnsi="Calibri" w:eastAsia="Calibri" w:cs="Calibri"/>
          <w:color w:val="000000"/>
          <w:sz w:val="22"/>
          <w:szCs w:val="22"/>
        </w:rPr>
        <w:t xml:space="preserve">Isaacs R &amp; van Timmeren S (2009) Monitoring and temperature - Based prediction of the whitemarked tussock moth (Lepidoptera: Lymantriidae) in blueberry. </w:t>
      </w:r>
      <w:r>
        <w:rPr>
          <w:rFonts w:ascii="Calibri" w:hAnsi="Calibri" w:eastAsia="Calibri" w:cs="Calibri"/>
          <w:i/>
          <w:iCs/>
          <w:color w:val="000000"/>
          <w:sz w:val="22"/>
          <w:szCs w:val="22"/>
        </w:rPr>
        <w:t xml:space="preserve">Horticultural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102</w:t>
      </w:r>
      <w:r>
        <w:rPr>
          <w:rFonts w:ascii="Calibri" w:hAnsi="Calibri" w:eastAsia="Calibri" w:cs="Calibri"/>
          <w:color w:val="000000"/>
          <w:sz w:val="22"/>
          <w:szCs w:val="22"/>
        </w:rPr>
        <w:t xml:space="preserve">(2), 637–645.</w:t>
      </w:r>
    </w:p>
    <w:p>
      <w:pPr>
        <w:widowControl w:val="on"/>
        <w:pBdr/>
        <w:spacing w:before="220" w:after="220" w:line="240" w:lineRule="auto"/>
        <w:ind w:left="0" w:right="0"/>
        <w:jc w:val="left"/>
      </w:pPr>
      <w:r>
        <w:rPr>
          <w:rFonts w:ascii="Calibri" w:hAnsi="Calibri" w:eastAsia="Calibri" w:cs="Calibri"/>
          <w:color w:val="000000"/>
          <w:sz w:val="22"/>
          <w:szCs w:val="22"/>
        </w:rPr>
        <w:t xml:space="preserve">Keating R, Yerger EH &amp; Nuttle T (2013) </w:t>
      </w:r>
      <w:r>
        <w:rPr>
          <w:rFonts w:ascii="Calibri" w:hAnsi="Calibri" w:eastAsia="Calibri" w:cs="Calibri"/>
          <w:i/>
          <w:iCs/>
          <w:color w:val="000000"/>
          <w:sz w:val="22"/>
          <w:szCs w:val="22"/>
        </w:rPr>
        <w:t xml:space="preserve">Impacts of Climate Change on Commonly Encountered Forest Lepidoptera of Pennsylvania</w:t>
      </w:r>
      <w:r>
        <w:rPr>
          <w:rFonts w:ascii="Calibri" w:hAnsi="Calibri" w:eastAsia="Calibri" w:cs="Calibri"/>
          <w:color w:val="000000"/>
          <w:sz w:val="22"/>
          <w:szCs w:val="22"/>
        </w:rPr>
        <w:t xml:space="preserve">. Project report. Pennsylvania Department of Conversation and Natural Resources, Wild Resource Conservation Program (WRCP-010383). 72 pp.</w:t>
      </w:r>
    </w:p>
    <w:p>
      <w:pPr>
        <w:widowControl w:val="on"/>
        <w:pBdr/>
        <w:spacing w:before="220" w:after="220" w:line="240" w:lineRule="auto"/>
        <w:ind w:left="0" w:right="0"/>
        <w:jc w:val="left"/>
      </w:pPr>
      <w:r>
        <w:rPr>
          <w:rFonts w:ascii="Calibri" w:hAnsi="Calibri" w:eastAsia="Calibri" w:cs="Calibri"/>
          <w:color w:val="000000"/>
          <w:sz w:val="22"/>
          <w:szCs w:val="22"/>
        </w:rPr>
        <w:t xml:space="preserve">Magasi LP (1995) Forest insect pests in the Maritimes region. In: </w:t>
      </w:r>
      <w:r>
        <w:rPr>
          <w:rFonts w:ascii="Calibri" w:hAnsi="Calibri" w:eastAsia="Calibri" w:cs="Calibri"/>
          <w:i/>
          <w:iCs/>
          <w:color w:val="000000"/>
          <w:sz w:val="22"/>
          <w:szCs w:val="22"/>
        </w:rPr>
        <w:t xml:space="preserve">Forest insect pests in Canada</w:t>
      </w:r>
      <w:r>
        <w:rPr>
          <w:rFonts w:ascii="Calibri" w:hAnsi="Calibri" w:eastAsia="Calibri" w:cs="Calibri"/>
          <w:color w:val="000000"/>
          <w:sz w:val="22"/>
          <w:szCs w:val="22"/>
        </w:rPr>
        <w:t xml:space="preserve">. Eds JA Armstrong, WGH Ives. Natural Resources Canada, Canadian Forest Service, Ottawa, Ontario, Canada, 11–25. Available at: </w:t>
      </w:r>
      <w:hyperlink r:id="rId50476ac1b3d2ca407" w:history="1">
        <w:r>
          <w:rPr>
            <w:rFonts w:ascii="Calibri" w:hAnsi="Calibri" w:eastAsia="Calibri" w:cs="Calibri"/>
            <w:color w:val="0000CC"/>
            <w:sz w:val="22"/>
            <w:szCs w:val="22"/>
            <w:u w:val="single"/>
          </w:rPr>
          <w:t xml:space="preserve">http://publications.gc.ca/collections/collection_2020/rncan-nrcan/Fo42-235-1995-eng.pdf</w:t>
        </w:r>
      </w:hyperlink>
      <w:r>
        <w:rPr>
          <w:rFonts w:ascii="Calibri" w:hAnsi="Calibri" w:eastAsia="Calibri" w:cs="Calibri"/>
          <w:color w:val="000000"/>
          <w:sz w:val="22"/>
          <w:szCs w:val="22"/>
        </w:rPr>
        <w:t xml:space="preserve"> (Accessed on 2 April 2025).</w:t>
      </w:r>
    </w:p>
    <w:p>
      <w:pPr>
        <w:widowControl w:val="on"/>
        <w:pBdr/>
        <w:spacing w:before="220" w:after="220" w:line="240" w:lineRule="auto"/>
        <w:ind w:left="0" w:right="0"/>
        <w:jc w:val="left"/>
      </w:pPr>
      <w:r>
        <w:rPr>
          <w:rFonts w:ascii="Calibri" w:hAnsi="Calibri" w:eastAsia="Calibri" w:cs="Calibri"/>
          <w:color w:val="000000"/>
          <w:sz w:val="22"/>
          <w:szCs w:val="22"/>
        </w:rPr>
        <w:t xml:space="preserve">Natural Resources Canada (2020) </w:t>
      </w:r>
      <w:r>
        <w:rPr>
          <w:rFonts w:ascii="Calibri" w:hAnsi="Calibri" w:eastAsia="Calibri" w:cs="Calibri"/>
          <w:i/>
          <w:iCs/>
          <w:color w:val="000000"/>
          <w:sz w:val="22"/>
          <w:szCs w:val="22"/>
        </w:rPr>
        <w:t xml:space="preserve">Whitemarked tussock moth</w:t>
      </w:r>
      <w:r>
        <w:rPr>
          <w:rFonts w:ascii="Calibri" w:hAnsi="Calibri" w:eastAsia="Calibri" w:cs="Calibri"/>
          <w:color w:val="000000"/>
          <w:sz w:val="22"/>
          <w:szCs w:val="22"/>
        </w:rPr>
        <w:t xml:space="preserve">. Available at: </w:t>
      </w:r>
      <w:hyperlink r:id="rId75326ac1b3d2ca468" w:history="1">
        <w:r>
          <w:rPr>
            <w:rFonts w:ascii="Calibri" w:hAnsi="Calibri" w:eastAsia="Calibri" w:cs="Calibri"/>
            <w:color w:val="0000CC"/>
            <w:sz w:val="22"/>
            <w:szCs w:val="22"/>
            <w:u w:val="single"/>
          </w:rPr>
          <w:t xml:space="preserve">https://tidcf.nrcan.gc.ca/en/insects/factsheet/9515</w:t>
        </w:r>
      </w:hyperlink>
      <w:r>
        <w:rPr>
          <w:rFonts w:ascii="Calibri" w:hAnsi="Calibri" w:eastAsia="Calibri" w:cs="Calibri"/>
          <w:color w:val="000000"/>
          <w:sz w:val="22"/>
          <w:szCs w:val="22"/>
        </w:rPr>
        <w:t xml:space="preserve">  (Accessed on 2 April 2025)</w:t>
      </w:r>
    </w:p>
    <w:p>
      <w:pPr>
        <w:widowControl w:val="on"/>
        <w:pBdr/>
        <w:spacing w:before="220" w:after="220" w:line="240" w:lineRule="auto"/>
        <w:ind w:left="0" w:right="0"/>
        <w:jc w:val="left"/>
      </w:pPr>
      <w:r>
        <w:rPr>
          <w:rFonts w:ascii="Calibri" w:hAnsi="Calibri" w:eastAsia="Calibri" w:cs="Calibri"/>
          <w:color w:val="000000"/>
          <w:sz w:val="22"/>
          <w:szCs w:val="22"/>
        </w:rPr>
        <w:t xml:space="preserve">Neilson WTA &amp; Crozier LM (1989) Insects. Pp. 27-37. In: Blatt CR, Hall LV, Jensen KIN, Neilson WTA, Hildebrand PD, Nickerson NL, Prange RK, Lidster PD, Crozier L, Silbey JD. </w:t>
      </w:r>
      <w:r>
        <w:rPr>
          <w:rFonts w:ascii="Calibri" w:hAnsi="Calibri" w:eastAsia="Calibri" w:cs="Calibri"/>
          <w:i/>
          <w:iCs/>
          <w:color w:val="000000"/>
          <w:sz w:val="22"/>
          <w:szCs w:val="22"/>
        </w:rPr>
        <w:t xml:space="preserve">Lowbush blueberry production</w:t>
      </w:r>
      <w:r>
        <w:rPr>
          <w:rFonts w:ascii="Calibri" w:hAnsi="Calibri" w:eastAsia="Calibri" w:cs="Calibri"/>
          <w:color w:val="000000"/>
          <w:sz w:val="22"/>
          <w:szCs w:val="22"/>
        </w:rPr>
        <w:t xml:space="preserve">. Agriculture Canada Publication 1477/E. 56 pp. Available at </w:t>
      </w:r>
      <w:hyperlink r:id="rId74546ac1b3d2ca4cb" w:history="1">
        <w:r>
          <w:rPr>
            <w:rFonts w:ascii="Calibri" w:hAnsi="Calibri" w:eastAsia="Calibri" w:cs="Calibri"/>
            <w:color w:val="0000CC"/>
            <w:sz w:val="22"/>
            <w:szCs w:val="22"/>
            <w:u w:val="single"/>
          </w:rPr>
          <w:t xml:space="preserve">https://publications.gc.ca/</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Núñez R &amp; Barro A (2012) A list of Cuban Lepidoptera (Arthropoda: Insecta). </w:t>
      </w:r>
      <w:r>
        <w:rPr>
          <w:rFonts w:ascii="Calibri" w:hAnsi="Calibri" w:eastAsia="Calibri" w:cs="Calibri"/>
          <w:i/>
          <w:iCs/>
          <w:color w:val="000000"/>
          <w:sz w:val="22"/>
          <w:szCs w:val="22"/>
        </w:rPr>
        <w:t xml:space="preserve">Zootaxa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3384,</w:t>
      </w:r>
      <w:r>
        <w:rPr>
          <w:rFonts w:ascii="Calibri" w:hAnsi="Calibri" w:eastAsia="Calibri" w:cs="Calibri"/>
          <w:color w:val="000000"/>
          <w:sz w:val="22"/>
          <w:szCs w:val="22"/>
        </w:rPr>
        <w:t xml:space="preserve"> 1–59.</w:t>
      </w:r>
    </w:p>
    <w:p>
      <w:pPr>
        <w:widowControl w:val="on"/>
        <w:pBdr/>
        <w:spacing w:before="220" w:after="220" w:line="240" w:lineRule="auto"/>
        <w:ind w:left="0" w:right="0"/>
        <w:jc w:val="left"/>
      </w:pPr>
      <w:r>
        <w:rPr>
          <w:rFonts w:ascii="Calibri" w:hAnsi="Calibri" w:eastAsia="Calibri" w:cs="Calibri"/>
          <w:color w:val="000000"/>
          <w:sz w:val="22"/>
          <w:szCs w:val="22"/>
        </w:rPr>
        <w:t xml:space="preserve">Pohl GR, Landry J-F, Schmidt BC, Lafontaine JD, Troubridge JT, Macaulay AD, Van Nieukerken EJ, DeWaard JR, Dombroskie JJ, Klymko J, Nazari V &amp; Stead K (2018) </w:t>
      </w:r>
      <w:r>
        <w:rPr>
          <w:rFonts w:ascii="Calibri" w:hAnsi="Calibri" w:eastAsia="Calibri" w:cs="Calibri"/>
          <w:i/>
          <w:iCs/>
          <w:color w:val="000000"/>
          <w:sz w:val="22"/>
          <w:szCs w:val="22"/>
        </w:rPr>
        <w:t xml:space="preserve">Annotated checklist of the moths and butterflies (Lepidoptera) of Canada and Alaska</w:t>
      </w:r>
      <w:r>
        <w:rPr>
          <w:rFonts w:ascii="Calibri" w:hAnsi="Calibri" w:eastAsia="Calibri" w:cs="Calibri"/>
          <w:color w:val="000000"/>
          <w:sz w:val="22"/>
          <w:szCs w:val="22"/>
        </w:rPr>
        <w:t xml:space="preserve">. Pensoft Publishers, Sofia, Bulgaria. 580 pp.</w:t>
      </w:r>
    </w:p>
    <w:p>
      <w:pPr>
        <w:widowControl w:val="on"/>
        <w:pBdr/>
        <w:spacing w:before="220" w:after="220" w:line="240" w:lineRule="auto"/>
        <w:ind w:left="0" w:right="0"/>
        <w:jc w:val="left"/>
      </w:pPr>
      <w:r>
        <w:rPr>
          <w:rFonts w:ascii="Calibri" w:hAnsi="Calibri" w:eastAsia="Calibri" w:cs="Calibri"/>
          <w:color w:val="000000"/>
          <w:sz w:val="22"/>
          <w:szCs w:val="22"/>
        </w:rPr>
        <w:t xml:space="preserve">Riley CV (1888) </w:t>
      </w:r>
      <w:r>
        <w:rPr>
          <w:rFonts w:ascii="Calibri" w:hAnsi="Calibri" w:eastAsia="Calibri" w:cs="Calibri"/>
          <w:i/>
          <w:iCs/>
          <w:color w:val="000000"/>
          <w:sz w:val="22"/>
          <w:szCs w:val="22"/>
        </w:rPr>
        <w:t xml:space="preserve">Our shade trees and their insect defoliators</w:t>
      </w:r>
      <w:r>
        <w:rPr>
          <w:rFonts w:ascii="Calibri" w:hAnsi="Calibri" w:eastAsia="Calibri" w:cs="Calibri"/>
          <w:color w:val="000000"/>
          <w:sz w:val="22"/>
          <w:szCs w:val="22"/>
        </w:rPr>
        <w:t xml:space="preserve">. Bulletin No. 10, US Department of Agriculture, Division of entomology, Washington. 71 pp.</w:t>
      </w:r>
    </w:p>
    <w:p>
      <w:pPr>
        <w:widowControl w:val="on"/>
        <w:pBdr/>
        <w:spacing w:before="220" w:after="220" w:line="240" w:lineRule="auto"/>
        <w:ind w:left="0" w:right="0"/>
        <w:jc w:val="left"/>
      </w:pPr>
      <w:r>
        <w:rPr>
          <w:rFonts w:ascii="Calibri" w:hAnsi="Calibri" w:eastAsia="Calibri" w:cs="Calibri"/>
          <w:color w:val="000000"/>
          <w:sz w:val="22"/>
          <w:szCs w:val="22"/>
        </w:rPr>
        <w:t xml:space="preserve">Schowalter TD (2018) Biology and management of the whitemarked tussock moth (Lepidoptera: Erebidae). </w:t>
      </w:r>
      <w:r>
        <w:rPr>
          <w:rFonts w:ascii="Calibri" w:hAnsi="Calibri" w:eastAsia="Calibri" w:cs="Calibri"/>
          <w:i/>
          <w:iCs/>
          <w:color w:val="000000"/>
          <w:sz w:val="22"/>
          <w:szCs w:val="22"/>
        </w:rPr>
        <w:t xml:space="preserve">Journal of Integrated Pest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(1), 26, 1–8.</w:t>
      </w:r>
    </w:p>
    <w:p>
      <w:pPr>
        <w:widowControl w:val="on"/>
        <w:pBdr/>
        <w:spacing w:before="220" w:after="220" w:line="240" w:lineRule="auto"/>
        <w:ind w:left="0" w:right="0"/>
        <w:jc w:val="left"/>
      </w:pPr>
      <w:r>
        <w:rPr>
          <w:rFonts w:ascii="Calibri" w:hAnsi="Calibri" w:eastAsia="Calibri" w:cs="Calibri"/>
          <w:color w:val="000000"/>
          <w:sz w:val="22"/>
          <w:szCs w:val="22"/>
        </w:rPr>
        <w:t xml:space="preserve">Tammaru T, Esperk T &amp; Castellanos I (2002) No evidence for costs of being large in females of </w:t>
      </w:r>
      <w:r>
        <w:rPr>
          <w:rFonts w:ascii="Calibri" w:hAnsi="Calibri" w:eastAsia="Calibri" w:cs="Calibri"/>
          <w:i/>
          <w:iCs/>
          <w:color w:val="000000"/>
          <w:sz w:val="22"/>
          <w:szCs w:val="22"/>
        </w:rPr>
        <w:t xml:space="preserve">Orgyia</w:t>
      </w:r>
      <w:r>
        <w:rPr>
          <w:rFonts w:ascii="Calibri" w:hAnsi="Calibri" w:eastAsia="Calibri" w:cs="Calibri"/>
          <w:color w:val="000000"/>
          <w:sz w:val="22"/>
          <w:szCs w:val="22"/>
        </w:rPr>
        <w:t xml:space="preserve"> spp. (Lepidoptera, Lymantriidae): larger is always better. </w:t>
      </w:r>
      <w:r>
        <w:rPr>
          <w:rFonts w:ascii="Calibri" w:hAnsi="Calibri" w:eastAsia="Calibri" w:cs="Calibri"/>
          <w:i/>
          <w:iCs/>
          <w:color w:val="000000"/>
          <w:sz w:val="22"/>
          <w:szCs w:val="22"/>
        </w:rPr>
        <w:t xml:space="preserve">Oecologia </w:t>
      </w:r>
      <w:r>
        <w:rPr>
          <w:rFonts w:ascii="Calibri" w:hAnsi="Calibri" w:eastAsia="Calibri" w:cs="Calibri"/>
          <w:b/>
          <w:bCs/>
          <w:color w:val="000000"/>
          <w:sz w:val="22"/>
          <w:szCs w:val="22"/>
        </w:rPr>
        <w:t xml:space="preserve">133</w:t>
      </w:r>
      <w:r>
        <w:rPr>
          <w:rFonts w:ascii="Calibri" w:hAnsi="Calibri" w:eastAsia="Calibri" w:cs="Calibri"/>
          <w:color w:val="000000"/>
          <w:sz w:val="22"/>
          <w:szCs w:val="22"/>
        </w:rPr>
        <w:t xml:space="preserve">(3), 430-438.</w:t>
      </w:r>
    </w:p>
    <w:p>
      <w:pPr>
        <w:widowControl w:val="on"/>
        <w:pBdr/>
        <w:spacing w:before="220" w:after="220" w:line="240" w:lineRule="auto"/>
        <w:ind w:left="0" w:right="0"/>
        <w:jc w:val="left"/>
      </w:pPr>
      <w:r>
        <w:rPr>
          <w:rFonts w:ascii="Calibri" w:hAnsi="Calibri" w:eastAsia="Calibri" w:cs="Calibri"/>
          <w:color w:val="000000"/>
          <w:sz w:val="22"/>
          <w:szCs w:val="22"/>
        </w:rPr>
        <w:t xml:space="preserve">Taylor AR, MacLean DA, Neily PD, Stewart B, Quigley E, Basquill SP, Boone CK, Gilby D &amp; Pulsifer M (2020) A review of natural disturbances to inform implementation of ecological forestry in Nova Scotia, Canada. </w:t>
      </w:r>
      <w:r>
        <w:rPr>
          <w:rFonts w:ascii="Calibri" w:hAnsi="Calibri" w:eastAsia="Calibri" w:cs="Calibri"/>
          <w:i/>
          <w:iCs/>
          <w:color w:val="000000"/>
          <w:sz w:val="22"/>
          <w:szCs w:val="22"/>
        </w:rPr>
        <w:t xml:space="preserve">Environmental Reviews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 387–412.</w:t>
      </w:r>
    </w:p>
    <w:p>
      <w:pPr>
        <w:widowControl w:val="on"/>
        <w:pBdr/>
        <w:spacing w:before="220" w:after="220" w:line="240" w:lineRule="auto"/>
        <w:ind w:left="0" w:right="0"/>
        <w:jc w:val="left"/>
      </w:pPr>
      <w:r>
        <w:rPr>
          <w:rFonts w:ascii="Calibri" w:hAnsi="Calibri" w:eastAsia="Calibri" w:cs="Calibri"/>
          <w:color w:val="000000"/>
          <w:sz w:val="22"/>
          <w:szCs w:val="22"/>
        </w:rPr>
        <w:t xml:space="preserve">Thurston GS &amp; MacGregor JD (2003) Body size-realized fecundity relationship of whitemarked tussock moth. </w:t>
      </w:r>
      <w:r>
        <w:rPr>
          <w:rFonts w:ascii="Calibri" w:hAnsi="Calibri" w:eastAsia="Calibri" w:cs="Calibri"/>
          <w:i/>
          <w:iCs/>
          <w:color w:val="000000"/>
          <w:sz w:val="22"/>
          <w:szCs w:val="22"/>
        </w:rPr>
        <w:t xml:space="preserve">The 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135</w:t>
      </w:r>
      <w:r>
        <w:rPr>
          <w:rFonts w:ascii="Calibri" w:hAnsi="Calibri" w:eastAsia="Calibri" w:cs="Calibri"/>
          <w:color w:val="000000"/>
          <w:sz w:val="22"/>
          <w:szCs w:val="22"/>
        </w:rPr>
        <w:t xml:space="preserve">(4), 583–586.</w:t>
      </w:r>
    </w:p>
    <w:p>
      <w:pPr>
        <w:widowControl w:val="on"/>
        <w:pBdr/>
        <w:spacing w:before="220" w:after="220" w:line="240" w:lineRule="auto"/>
        <w:ind w:left="0" w:right="0"/>
        <w:jc w:val="left"/>
      </w:pPr>
      <w:r>
        <w:rPr>
          <w:rFonts w:ascii="Calibri" w:hAnsi="Calibri" w:eastAsia="Calibri" w:cs="Calibri"/>
          <w:color w:val="000000"/>
          <w:sz w:val="22"/>
          <w:szCs w:val="22"/>
        </w:rPr>
        <w:t xml:space="preserve">Thurston GS (2002) </w:t>
      </w:r>
      <w:r>
        <w:rPr>
          <w:rFonts w:ascii="Calibri" w:hAnsi="Calibri" w:eastAsia="Calibri" w:cs="Calibri"/>
          <w:i/>
          <w:iCs/>
          <w:color w:val="000000"/>
          <w:sz w:val="22"/>
          <w:szCs w:val="22"/>
        </w:rPr>
        <w:t xml:space="preserve">Orgyia leucostigma</w:t>
      </w:r>
      <w:r>
        <w:rPr>
          <w:rFonts w:ascii="Calibri" w:hAnsi="Calibri" w:eastAsia="Calibri" w:cs="Calibri"/>
          <w:color w:val="000000"/>
          <w:sz w:val="22"/>
          <w:szCs w:val="22"/>
        </w:rPr>
        <w:t xml:space="preserve"> (J.E. Smith), whitemarked tussock moth (Lepidoptera: Lymantriidae). In: Mason PG &amp; Huber JT (eds) </w:t>
      </w:r>
      <w:r>
        <w:rPr>
          <w:rFonts w:ascii="Calibri" w:hAnsi="Calibri" w:eastAsia="Calibri" w:cs="Calibri"/>
          <w:i/>
          <w:iCs/>
          <w:color w:val="000000"/>
          <w:sz w:val="22"/>
          <w:szCs w:val="22"/>
        </w:rPr>
        <w:t xml:space="preserve">Biological control programmes in Canada, 1981–2000</w:t>
      </w:r>
      <w:r>
        <w:rPr>
          <w:rFonts w:ascii="Calibri" w:hAnsi="Calibri" w:eastAsia="Calibri" w:cs="Calibri"/>
          <w:color w:val="000000"/>
          <w:sz w:val="22"/>
          <w:szCs w:val="22"/>
        </w:rPr>
        <w:t xml:space="preserve">. CABI Publishing, Wallingford, UK. 201–203.</w:t>
      </w:r>
    </w:p>
    <w:p>
      <w:pPr>
        <w:widowControl w:val="on"/>
        <w:pBdr/>
        <w:spacing w:before="220" w:after="220" w:line="240" w:lineRule="auto"/>
        <w:ind w:left="0" w:right="0"/>
        <w:jc w:val="left"/>
      </w:pPr>
      <w:r>
        <w:rPr>
          <w:rFonts w:ascii="Calibri" w:hAnsi="Calibri" w:eastAsia="Calibri" w:cs="Calibri"/>
          <w:color w:val="000000"/>
          <w:sz w:val="22"/>
          <w:szCs w:val="22"/>
        </w:rPr>
        <w:t xml:space="preserve">Van Frankenhuyzen K, Ebling P, Thurston G, Lucarotti C, Royama T, Guscott R, Georgeson E &amp; Silver J (2002) Incidence and impact of </w:t>
      </w:r>
      <w:r>
        <w:rPr>
          <w:rFonts w:ascii="Calibri" w:hAnsi="Calibri" w:eastAsia="Calibri" w:cs="Calibri"/>
          <w:i/>
          <w:iCs/>
          <w:color w:val="000000"/>
          <w:sz w:val="22"/>
          <w:szCs w:val="22"/>
        </w:rPr>
        <w:t xml:space="preserve">Entomophaga aulicae</w:t>
      </w:r>
      <w:r>
        <w:rPr>
          <w:rFonts w:ascii="Calibri" w:hAnsi="Calibri" w:eastAsia="Calibri" w:cs="Calibri"/>
          <w:color w:val="000000"/>
          <w:sz w:val="22"/>
          <w:szCs w:val="22"/>
        </w:rPr>
        <w:t xml:space="preserve"> (Zygomycetes: Entomophthorales) and a nucleopolyhedrovirus in an outbreak of the whitemarked tussock moth (Lepidoptera: Lymantriidae). </w:t>
      </w:r>
      <w:r>
        <w:rPr>
          <w:rFonts w:ascii="Calibri" w:hAnsi="Calibri" w:eastAsia="Calibri" w:cs="Calibri"/>
          <w:i/>
          <w:iCs/>
          <w:color w:val="000000"/>
          <w:sz w:val="22"/>
          <w:szCs w:val="22"/>
        </w:rPr>
        <w:t xml:space="preserve">The 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134</w:t>
      </w:r>
      <w:r>
        <w:rPr>
          <w:rFonts w:ascii="Calibri" w:hAnsi="Calibri" w:eastAsia="Calibri" w:cs="Calibri"/>
          <w:color w:val="000000"/>
          <w:sz w:val="22"/>
          <w:szCs w:val="22"/>
        </w:rPr>
        <w:t xml:space="preserve">, 825–845.</w:t>
      </w:r>
    </w:p>
    <w:p>
      <w:pPr>
        <w:widowControl w:val="on"/>
        <w:pBdr/>
        <w:spacing w:before="220" w:after="220" w:line="240" w:lineRule="auto"/>
        <w:ind w:left="0" w:right="0"/>
        <w:jc w:val="left"/>
      </w:pPr>
      <w:r>
        <w:rPr>
          <w:rFonts w:ascii="Calibri" w:hAnsi="Calibri" w:eastAsia="Calibri" w:cs="Calibri"/>
          <w:color w:val="000000"/>
          <w:sz w:val="22"/>
          <w:szCs w:val="22"/>
        </w:rPr>
        <w:t xml:space="preserve">Wagner DL, Giles V, Reardon RC &amp; McManus ML (1997) </w:t>
      </w:r>
      <w:r>
        <w:rPr>
          <w:rFonts w:ascii="Calibri" w:hAnsi="Calibri" w:eastAsia="Calibri" w:cs="Calibri"/>
          <w:i/>
          <w:iCs/>
          <w:color w:val="000000"/>
          <w:sz w:val="22"/>
          <w:szCs w:val="22"/>
        </w:rPr>
        <w:t xml:space="preserve">Caterpillars of eastern forests</w:t>
      </w:r>
      <w:r>
        <w:rPr>
          <w:rFonts w:ascii="Calibri" w:hAnsi="Calibri" w:eastAsia="Calibri" w:cs="Calibri"/>
          <w:color w:val="000000"/>
          <w:sz w:val="22"/>
          <w:szCs w:val="22"/>
        </w:rPr>
        <w:t xml:space="preserve">. USDA, Forest Health Technology Enterprise Team, Morgantown, West Virginia, FHTET-96-34, 113 pp.</w:t>
      </w:r>
    </w:p>
    <w:p>
      <w:pPr>
        <w:widowControl w:val="on"/>
        <w:pBdr/>
        <w:spacing w:before="220" w:after="220" w:line="240" w:lineRule="auto"/>
        <w:ind w:left="0" w:right="0"/>
        <w:jc w:val="left"/>
      </w:pPr>
      <w:r>
        <w:rPr>
          <w:rFonts w:ascii="Calibri" w:hAnsi="Calibri" w:eastAsia="Calibri" w:cs="Calibri"/>
          <w:color w:val="000000"/>
          <w:sz w:val="22"/>
          <w:szCs w:val="22"/>
        </w:rPr>
        <w:t xml:space="preserve">Wallner WE &amp; McManus KA (1989) Proceedings, Lymantriidae: a comparison of features of New and Old World tussock moths; 1988 June 26-July 1; New Haven, CT. Gen. Tech. Rep. NE-123. Broomall, PA: U.S. Department of Agriculture, Forest Service, Northeastern Forest Experiment Station. 554 pp. </w:t>
      </w:r>
      <w:hyperlink r:id="rId67636ac1b3d2ca87e" w:history="1">
        <w:r>
          <w:rPr>
            <w:rFonts w:ascii="Calibri" w:hAnsi="Calibri" w:eastAsia="Calibri" w:cs="Calibri"/>
            <w:color w:val="0000CC"/>
            <w:sz w:val="22"/>
            <w:szCs w:val="22"/>
            <w:u w:val="single"/>
          </w:rPr>
          <w:t xml:space="preserve">https://doi.org/10.2737/NE-GTR-123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Webster RL (1916) </w:t>
      </w:r>
      <w:r>
        <w:rPr>
          <w:rFonts w:ascii="Calibri" w:hAnsi="Calibri" w:eastAsia="Calibri" w:cs="Calibri"/>
          <w:i/>
          <w:iCs/>
          <w:color w:val="000000"/>
          <w:sz w:val="22"/>
          <w:szCs w:val="22"/>
        </w:rPr>
        <w:t xml:space="preserve">The white-marked tussock-moth</w:t>
      </w:r>
      <w:r>
        <w:rPr>
          <w:rFonts w:ascii="Calibri" w:hAnsi="Calibri" w:eastAsia="Calibri" w:cs="Calibri"/>
          <w:color w:val="000000"/>
          <w:sz w:val="22"/>
          <w:szCs w:val="22"/>
        </w:rPr>
        <w:t xml:space="preserve">. Circular. Paper 33. </w:t>
      </w:r>
      <w:hyperlink r:id="rId58926ac1b3d2ca8cf" w:history="1">
        <w:r>
          <w:rPr>
            <w:rFonts w:ascii="Calibri" w:hAnsi="Calibri" w:eastAsia="Calibri" w:cs="Calibri"/>
            <w:color w:val="0000CC"/>
            <w:sz w:val="22"/>
            <w:szCs w:val="22"/>
            <w:u w:val="single"/>
          </w:rPr>
          <w:t xml:space="preserve">https://lib.dr.iastate.edu/iaes_circulars/39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Wilson LF (1991) Location and condition of white marked tussock moth (Lepidoptera: Lymantriidae) cocoons in a Michigan black walnut plantation. </w:t>
      </w:r>
      <w:r>
        <w:rPr>
          <w:rFonts w:ascii="Calibri" w:hAnsi="Calibri" w:eastAsia="Calibri" w:cs="Calibri"/>
          <w:i/>
          <w:iCs/>
          <w:color w:val="000000"/>
          <w:sz w:val="22"/>
          <w:szCs w:val="22"/>
        </w:rPr>
        <w:t xml:space="preserve">Great Lakes Entomologist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(3), 153–157.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0" w:after="0" w:line="240" w:lineRule="auto"/>
        <w:ind w:left="0" w:right="0"/>
        <w:jc w:val="both"/>
      </w:pPr>
      <w:r>
        <w:rPr>
          <w:rFonts w:ascii="Calibri" w:hAnsi="Calibri" w:eastAsia="Calibri" w:cs="Calibri"/>
          <w:color w:val="000000"/>
          <w:sz w:val="22"/>
          <w:szCs w:val="22"/>
        </w:rPr>
        <w:t xml:space="preserve">This datasheet was prepared in 2025 by the EPPO Secretariat based on the pest risk analysis produced by an EPPO Expert Working Group in 2021. The Expert Working Group was composed of J. Boberg (Swedish University of Agricultural Sciences, Uppsala, Sweden), O. Ezzine (Institut National de Recherches en Génie Rural, Eaux et Forêts, Tunisia), Guitian Castrillon JM (Tecnologias y Servicios Agrarios, Spain), M. Marinova-Todorova (Finnish Food Authority, Finland), L. Roscoe (Canadian Forest Service, Atlantic Forestry Centre, Canada).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Orgyia leucostigma</w:t>
      </w:r>
      <w:r>
        <w:rPr>
          <w:rFonts w:ascii="Calibri" w:hAnsi="Calibri" w:eastAsia="Calibri" w:cs="Calibri"/>
          <w:color w:val="000000"/>
          <w:sz w:val="22"/>
          <w:szCs w:val="22"/>
        </w:rPr>
        <w:t xml:space="preserve">. EPPO datasheets on pests recommended for regulation. Available online. </w:t>
      </w:r>
      <w:hyperlink r:id="rId69306ac1b3d2ca9e0"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0" w:after="0" w:line="240" w:lineRule="auto"/>
        <w:ind w:left="0" w:right="0"/>
        <w:jc w:val="left"/>
      </w:pPr>
      <w:r>
        <w:rPr>
          <w:rFonts w:ascii="Calibri" w:hAnsi="Calibri" w:eastAsia="Calibri" w:cs="Calibri"/>
          <w:color w:val="000000"/>
          <w:sz w:val="22"/>
          <w:szCs w:val="22"/>
        </w:rPr>
        <w:t xml:space="preserve">This datasheet was first published in the EPPO Bulletin in 2025. It is maintained in an electronic format in the EPPO Global Database. The sections on 'Identity', ‘Hosts’, and 'Geographical distribution' are automatically updated from the database. For other sections, the date of last revision is indicated on the right.</w:t>
      </w:r>
      <w:r>
        <w:rPr>
          <w:rFonts w:ascii="Calibri" w:hAnsi="Calibri" w:eastAsia="Calibri" w:cs="Calibri"/>
          <w:color w:val="000000"/>
          <w:sz w:val="22"/>
          <w:szCs w:val="22"/>
        </w:rPr>
        <w:br/>
        <w:t xml:space="preserve">EPPO (2025) Datasheets on  pests recommended for regulation.  </w:t>
      </w:r>
      <w:r>
        <w:rPr>
          <w:rFonts w:ascii="Calibri" w:hAnsi="Calibri" w:eastAsia="Calibri" w:cs="Calibri"/>
          <w:i/>
          <w:iCs/>
          <w:color w:val="000000"/>
          <w:sz w:val="22"/>
          <w:szCs w:val="22"/>
        </w:rPr>
        <w:t xml:space="preserve">Orgyia leucostigma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 </w:t>
      </w:r>
      <w:r>
        <w:rPr>
          <w:rFonts w:ascii="Calibri" w:hAnsi="Calibri" w:eastAsia="Calibri" w:cs="Calibri"/>
          <w:color w:val="000000"/>
          <w:sz w:val="22"/>
          <w:szCs w:val="22"/>
        </w:rPr>
        <w:t xml:space="preserve">55(2).  </w:t>
      </w:r>
      <w:hyperlink r:id="rId17826ac1b3d2caa7e" w:history="1">
        <w:r>
          <w:rPr>
            <w:rFonts w:ascii="Calibri" w:hAnsi="Calibri" w:eastAsia="Calibri" w:cs="Calibri"/>
            <w:color w:val="0000CC"/>
            <w:sz w:val="22"/>
            <w:szCs w:val="22"/>
            <w:u w:val="single"/>
          </w:rPr>
          <w:t xml:space="preserve">https://doi.org/10.1111/epp.70000</w:t>
        </w:r>
      </w:hyperlink>
      <w:r>
        <w:rPr>
          <w:rFonts w:ascii="Calibri" w:hAnsi="Calibri" w:eastAsia="Calibri" w:cs="Calibri"/>
          <w:color w:val="000000"/>
          <w:sz w:val="22"/>
          <w:szCs w:val="22"/>
        </w:rPr>
        <w:t xml:space="preserve"> </w:t>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577508">
    <w:multiLevelType w:val="hybridMultilevel"/>
    <w:lvl w:ilvl="0" w:tplc="87687564">
      <w:start w:val="1"/>
      <w:numFmt w:val="decimal"/>
      <w:lvlText w:val="%1."/>
      <w:lvlJc w:val="left"/>
      <w:pPr>
        <w:ind w:left="720" w:hanging="360"/>
      </w:pPr>
    </w:lvl>
    <w:lvl w:ilvl="1" w:tplc="87687564" w:tentative="1">
      <w:start w:val="1"/>
      <w:numFmt w:val="lowerLetter"/>
      <w:lvlText w:val="%2."/>
      <w:lvlJc w:val="left"/>
      <w:pPr>
        <w:ind w:left="1440" w:hanging="360"/>
      </w:pPr>
    </w:lvl>
    <w:lvl w:ilvl="2" w:tplc="87687564" w:tentative="1">
      <w:start w:val="1"/>
      <w:numFmt w:val="lowerRoman"/>
      <w:lvlText w:val="%3."/>
      <w:lvlJc w:val="right"/>
      <w:pPr>
        <w:ind w:left="2160" w:hanging="180"/>
      </w:pPr>
    </w:lvl>
    <w:lvl w:ilvl="3" w:tplc="87687564" w:tentative="1">
      <w:start w:val="1"/>
      <w:numFmt w:val="decimal"/>
      <w:lvlText w:val="%4."/>
      <w:lvlJc w:val="left"/>
      <w:pPr>
        <w:ind w:left="2880" w:hanging="360"/>
      </w:pPr>
    </w:lvl>
    <w:lvl w:ilvl="4" w:tplc="87687564" w:tentative="1">
      <w:start w:val="1"/>
      <w:numFmt w:val="lowerLetter"/>
      <w:lvlText w:val="%5."/>
      <w:lvlJc w:val="left"/>
      <w:pPr>
        <w:ind w:left="3600" w:hanging="360"/>
      </w:pPr>
    </w:lvl>
    <w:lvl w:ilvl="5" w:tplc="87687564" w:tentative="1">
      <w:start w:val="1"/>
      <w:numFmt w:val="lowerRoman"/>
      <w:lvlText w:val="%6."/>
      <w:lvlJc w:val="right"/>
      <w:pPr>
        <w:ind w:left="4320" w:hanging="180"/>
      </w:pPr>
    </w:lvl>
    <w:lvl w:ilvl="6" w:tplc="87687564" w:tentative="1">
      <w:start w:val="1"/>
      <w:numFmt w:val="decimal"/>
      <w:lvlText w:val="%7."/>
      <w:lvlJc w:val="left"/>
      <w:pPr>
        <w:ind w:left="5040" w:hanging="360"/>
      </w:pPr>
    </w:lvl>
    <w:lvl w:ilvl="7" w:tplc="87687564" w:tentative="1">
      <w:start w:val="1"/>
      <w:numFmt w:val="lowerLetter"/>
      <w:lvlText w:val="%8."/>
      <w:lvlJc w:val="left"/>
      <w:pPr>
        <w:ind w:left="5760" w:hanging="360"/>
      </w:pPr>
    </w:lvl>
    <w:lvl w:ilvl="8" w:tplc="87687564" w:tentative="1">
      <w:start w:val="1"/>
      <w:numFmt w:val="lowerRoman"/>
      <w:lvlText w:val="%9."/>
      <w:lvlJc w:val="right"/>
      <w:pPr>
        <w:ind w:left="6480" w:hanging="180"/>
      </w:pPr>
    </w:lvl>
  </w:abstractNum>
  <w:abstractNum w:abstractNumId="96577507">
    <w:multiLevelType w:val="hybridMultilevel"/>
    <w:lvl w:ilvl="0" w:tplc="575452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577507">
    <w:abstractNumId w:val="96577507"/>
  </w:num>
  <w:num w:numId="96577508">
    <w:abstractNumId w:val="96577508"/>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23230042" Type="http://schemas.microsoft.com/office/2011/relationships/commentsExtended" Target="commentsExtended.xml"/><Relationship Id="rId953924153" Type="http://schemas.microsoft.com/office/2011/relationships/people" Target="people.xml"/><Relationship Id="rId59356ac1b3d2c5fda" Type="http://schemas.openxmlformats.org/officeDocument/2006/relationships/hyperlink" Target="https://gd.eppo.int/taxon/HEMELE/" TargetMode="External"/><Relationship Id="rId45086ac1b3d2c6020" Type="http://schemas.openxmlformats.org/officeDocument/2006/relationships/hyperlink" Target="https://gd.eppo.int/taxon/HEMELE/categorization" TargetMode="External"/><Relationship Id="rId13126ac1b3d2c67c4" Type="http://schemas.openxmlformats.org/officeDocument/2006/relationships/hyperlink" Target="https://gd.eppo.int/taxon/HEMELE/photos" TargetMode="External"/><Relationship Id="rId48786ac1b3d2c9e5d" Type="http://schemas.openxmlformats.org/officeDocument/2006/relationships/hyperlink" Target="https://cfs.nrcan.gc.ca/publications?id=35692" TargetMode="External"/><Relationship Id="rId46216ac1b3d2ca053" Type="http://schemas.openxmlformats.org/officeDocument/2006/relationships/hyperlink" Target="https://gd.eppo.int/taxon/HEMELE/documents" TargetMode="External"/><Relationship Id="rId73416ac1b3d2ca0e7" Type="http://schemas.openxmlformats.org/officeDocument/2006/relationships/hyperlink" Target="http://www.ippc.int" TargetMode="External"/><Relationship Id="rId53196ac1b3d2ca119" Type="http://schemas.openxmlformats.org/officeDocument/2006/relationships/hyperlink" Target="http://www.ippc.int" TargetMode="External"/><Relationship Id="rId50476ac1b3d2ca407" Type="http://schemas.openxmlformats.org/officeDocument/2006/relationships/hyperlink" Target="http://publications.gc.ca/collections/collection_2020/rncan-nrcan/Fo42-235-1995-eng.pdf" TargetMode="External"/><Relationship Id="rId75326ac1b3d2ca468" Type="http://schemas.openxmlformats.org/officeDocument/2006/relationships/hyperlink" Target="https://tidcf.nrcan.gc.ca/en/insects/factsheet/9515" TargetMode="External"/><Relationship Id="rId74546ac1b3d2ca4cb" Type="http://schemas.openxmlformats.org/officeDocument/2006/relationships/hyperlink" Target="https://publications.gc.ca/" TargetMode="External"/><Relationship Id="rId67636ac1b3d2ca87e" Type="http://schemas.openxmlformats.org/officeDocument/2006/relationships/hyperlink" Target="https://doi.org/10.2737/NE-GTR-123" TargetMode="External"/><Relationship Id="rId58926ac1b3d2ca8cf" Type="http://schemas.openxmlformats.org/officeDocument/2006/relationships/hyperlink" Target="https://lib.dr.iastate.edu/iaes_circulars/39" TargetMode="External"/><Relationship Id="rId69306ac1b3d2ca9e0" Type="http://schemas.openxmlformats.org/officeDocument/2006/relationships/hyperlink" Target="https://gd.eppo.int" TargetMode="External"/><Relationship Id="rId17826ac1b3d2caa7e" Type="http://schemas.openxmlformats.org/officeDocument/2006/relationships/hyperlink" Target="https://doi.org/10.1111/epp.70000" TargetMode="External"/><Relationship Id="rId58996ac1b3d2c66ae" Type="http://schemas.openxmlformats.org/officeDocument/2006/relationships/image" Target="media/imgrId58996ac1b3d2c66ae.jpg"/><Relationship Id="rId41796ac1b3d2c8c76" Type="http://schemas.openxmlformats.org/officeDocument/2006/relationships/image" Target="media/imgrId41796ac1b3d2c8c76.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