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Helicoverpa zea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2022-04-22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Helicoverpa zea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(Boddie)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Noctuidae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Bombyx obsoleta</w:t>
            </w:r>
            <w:r>
              <w:rPr>
                <w:rFonts w:ascii="Calibri" w:hAnsi="Calibri" w:eastAsia="Calibri" w:cs="Calibri"/>
                <w:color w:val="000000"/>
                <w:position w:val="-3"/>
                <w:sz w:val="22"/>
                <w:szCs w:val="22"/>
              </w:rPr>
              <w:t xml:space="preserve"> Fabricius, </w:t>
            </w:r>
            <w:r>
              <w:rPr>
                <w:rFonts w:ascii="Calibri" w:hAnsi="Calibri" w:eastAsia="Calibri" w:cs="Calibri"/>
                <w:i/>
                <w:iCs/>
                <w:color w:val="000000"/>
                <w:position w:val="-3"/>
                <w:sz w:val="22"/>
                <w:szCs w:val="22"/>
              </w:rPr>
              <w:t xml:space="preserve">Heliothis umbrosa</w:t>
            </w:r>
            <w:r>
              <w:rPr>
                <w:rFonts w:ascii="Calibri" w:hAnsi="Calibri" w:eastAsia="Calibri" w:cs="Calibri"/>
                <w:color w:val="000000"/>
                <w:position w:val="-3"/>
                <w:sz w:val="22"/>
                <w:szCs w:val="22"/>
              </w:rPr>
              <w:t xml:space="preserve"> Grote, </w:t>
            </w:r>
            <w:r>
              <w:rPr>
                <w:rFonts w:ascii="Calibri" w:hAnsi="Calibri" w:eastAsia="Calibri" w:cs="Calibri"/>
                <w:i/>
                <w:iCs/>
                <w:color w:val="000000"/>
                <w:position w:val="-3"/>
                <w:sz w:val="22"/>
                <w:szCs w:val="22"/>
              </w:rPr>
              <w:t xml:space="preserve">Heliothis zea</w:t>
            </w:r>
            <w:r>
              <w:rPr>
                <w:rFonts w:ascii="Calibri" w:hAnsi="Calibri" w:eastAsia="Calibri" w:cs="Calibri"/>
                <w:color w:val="000000"/>
                <w:position w:val="-3"/>
                <w:sz w:val="22"/>
                <w:szCs w:val="22"/>
              </w:rPr>
              <w:t xml:space="preserve"> (Boddie), </w:t>
            </w:r>
            <w:r>
              <w:rPr>
                <w:rFonts w:ascii="Calibri" w:hAnsi="Calibri" w:eastAsia="Calibri" w:cs="Calibri"/>
                <w:i/>
                <w:iCs/>
                <w:color w:val="000000"/>
                <w:position w:val="-3"/>
                <w:sz w:val="22"/>
                <w:szCs w:val="22"/>
              </w:rPr>
              <w:t xml:space="preserve">Phalaena zea</w:t>
            </w:r>
            <w:r>
              <w:rPr>
                <w:rFonts w:ascii="Calibri" w:hAnsi="Calibri" w:eastAsia="Calibri" w:cs="Calibri"/>
                <w:color w:val="000000"/>
                <w:position w:val="-3"/>
                <w:sz w:val="22"/>
                <w:szCs w:val="22"/>
              </w:rPr>
              <w:t xml:space="preserve"> (Boddie)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American bollworm, American cotton bollworm, New World bollworm, corn earworm, cotton bollworm, sorghum headworm, soybean podworm, tomato fruitworm</w:t>
            </w:r>
            <w:hyperlink r:id="rId96616ad49b9483cb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2586ad49b9483d3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HELIZE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9117344" name="name13696ad49b94843cd" descr="2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9.jpg"/>
                          <pic:cNvPicPr/>
                        </pic:nvPicPr>
                        <pic:blipFill>
                          <a:blip r:embed="rId77346ad49b94843cc" cstate="print"/>
                          <a:stretch>
                            <a:fillRect/>
                          </a:stretch>
                        </pic:blipFill>
                        <pic:spPr>
                          <a:xfrm>
                            <a:off x="0" y="0"/>
                            <a:ext cx="2160000" cy="1281600"/>
                          </a:xfrm>
                          <a:prstGeom prst="rect">
                            <a:avLst/>
                          </a:prstGeom>
                          <a:ln w="0">
                            <a:noFill/>
                          </a:ln>
                        </pic:spPr>
                      </pic:pic>
                    </a:graphicData>
                  </a:graphic>
                </wp:inline>
              </w:drawing>
            </w:r>
            <w:hyperlink r:id="rId60436ad49b948450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Helicoverpa </w:t>
      </w:r>
      <w:r>
        <w:rPr>
          <w:rFonts w:ascii="Calibri" w:hAnsi="Calibri" w:eastAsia="Calibri" w:cs="Calibri"/>
          <w:color w:val="000000"/>
          <w:sz w:val="22"/>
          <w:szCs w:val="22"/>
        </w:rPr>
        <w:t xml:space="preserve">(Lepidoptera: Noctuidae) contains several polyphagous moths that cause severe negative impacts on agricultural crops worldwide during their larval development.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(Old World cotton bollworm) is the most widely distributed of these pests.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is closely related to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(New World corn earworm), sharing external morphology, overlapping bioclimatic niche use, and host range and cannot be distinguished with the naked eye (Mitchell &amp; Gopurenko, 2016). Hardwick (1965) referred to 17 species in the</w:t>
      </w:r>
      <w:r>
        <w:rPr>
          <w:rFonts w:ascii="Calibri" w:hAnsi="Calibri" w:eastAsia="Calibri" w:cs="Calibri"/>
          <w:i/>
          <w:iCs/>
          <w:color w:val="000000"/>
          <w:sz w:val="22"/>
          <w:szCs w:val="22"/>
        </w:rPr>
        <w:t xml:space="preserve"> Helicoverpa</w:t>
      </w:r>
      <w:r>
        <w:rPr>
          <w:rFonts w:ascii="Calibri" w:hAnsi="Calibri" w:eastAsia="Calibri" w:cs="Calibri"/>
          <w:color w:val="000000"/>
          <w:sz w:val="22"/>
          <w:szCs w:val="22"/>
        </w:rPr>
        <w:t xml:space="preserve"> species complex on the basis of differences in both male and female genitalia</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Given the difficulty of distinguishing </w:t>
      </w:r>
      <w:r>
        <w:rPr>
          <w:rFonts w:ascii="Calibri" w:hAnsi="Calibri" w:eastAsia="Calibri" w:cs="Calibri"/>
          <w:i/>
          <w:iCs/>
          <w:color w:val="000000"/>
          <w:sz w:val="22"/>
          <w:szCs w:val="22"/>
        </w:rPr>
        <w:t xml:space="preserve">Helicoverpa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Heliothis </w:t>
      </w:r>
      <w:r>
        <w:rPr>
          <w:rFonts w:ascii="Calibri" w:hAnsi="Calibri" w:eastAsia="Calibri" w:cs="Calibri"/>
          <w:color w:val="000000"/>
          <w:sz w:val="22"/>
          <w:szCs w:val="22"/>
        </w:rPr>
        <w:t xml:space="preserve">species in the Heliothinae subfamily (with 381 species described) based on morphological characters (dissection of genitalia is required for identification), molecular markers are the best option for accurate detection of species in the </w:t>
      </w:r>
      <w:r>
        <w:rPr>
          <w:rFonts w:ascii="Calibri" w:hAnsi="Calibri" w:eastAsia="Calibri" w:cs="Calibri"/>
          <w:i/>
          <w:iCs/>
          <w:color w:val="000000"/>
          <w:sz w:val="22"/>
          <w:szCs w:val="22"/>
        </w:rPr>
        <w:t xml:space="preserve">Helicoverpa</w:t>
      </w:r>
      <w:r>
        <w:rPr>
          <w:rFonts w:ascii="Calibri" w:hAnsi="Calibri" w:eastAsia="Calibri" w:cs="Calibri"/>
          <w:color w:val="000000"/>
          <w:sz w:val="22"/>
          <w:szCs w:val="22"/>
        </w:rPr>
        <w:t xml:space="preserve"> genus. In addition, </w:t>
      </w:r>
      <w:r>
        <w:rPr>
          <w:rFonts w:ascii="Calibri" w:hAnsi="Calibri" w:eastAsia="Calibri" w:cs="Calibri"/>
          <w:i/>
          <w:iCs/>
          <w:color w:val="000000"/>
          <w:sz w:val="22"/>
          <w:szCs w:val="22"/>
        </w:rPr>
        <w:t xml:space="preserve">H. armigera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 zea </w:t>
      </w:r>
      <w:r>
        <w:rPr>
          <w:rFonts w:ascii="Calibri" w:hAnsi="Calibri" w:eastAsia="Calibri" w:cs="Calibri"/>
          <w:color w:val="000000"/>
          <w:sz w:val="22"/>
          <w:szCs w:val="22"/>
        </w:rPr>
        <w:t xml:space="preserve">can hybridize and produce fertile offspring (Nagoshi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Cordeiro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hence, </w:t>
      </w:r>
      <w:r>
        <w:rPr>
          <w:rFonts w:ascii="Calibri" w:hAnsi="Calibri" w:eastAsia="Calibri" w:cs="Calibri"/>
          <w:i/>
          <w:iCs/>
          <w:color w:val="000000"/>
          <w:sz w:val="22"/>
          <w:szCs w:val="22"/>
        </w:rPr>
        <w:t xml:space="preserve">H. armigera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 zea </w:t>
      </w:r>
      <w:r>
        <w:rPr>
          <w:rFonts w:ascii="Calibri" w:hAnsi="Calibri" w:eastAsia="Calibri" w:cs="Calibri"/>
          <w:color w:val="000000"/>
          <w:sz w:val="22"/>
          <w:szCs w:val="22"/>
        </w:rPr>
        <w:t xml:space="preserve">hybrids might exist in the field, with unknown biological traits (e.g. resistance genes), and/or impacts in relevant crops. It is possible that </w:t>
      </w:r>
      <w:r>
        <w:rPr>
          <w:rFonts w:ascii="Calibri" w:hAnsi="Calibri" w:eastAsia="Calibri" w:cs="Calibri"/>
          <w:i/>
          <w:iCs/>
          <w:color w:val="000000"/>
          <w:sz w:val="22"/>
          <w:szCs w:val="22"/>
        </w:rPr>
        <w:t xml:space="preserve">H. armigera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 zea </w:t>
      </w:r>
      <w:r>
        <w:rPr>
          <w:rFonts w:ascii="Calibri" w:hAnsi="Calibri" w:eastAsia="Calibri" w:cs="Calibri"/>
          <w:color w:val="000000"/>
          <w:sz w:val="22"/>
          <w:szCs w:val="22"/>
        </w:rPr>
        <w:t xml:space="preserve">hybrids could cryptically spread and avoid detection.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is regarded as being polyphagous in feeding habits but maize is a preferred host in North America, particularly when maize silks are present in early reproductive stages, in addition to sorghum. On both wild and cultivated hosts,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prefers to feed on flowers and fruits. Most hosts are recorded from the Poaceae, Malvaceae, Fabaceae and Solanaceae families; in total more than 100 plant species are recorded as 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crops most frequently recorded as host plants are maize, sorghum, cotton, </w:t>
      </w:r>
      <w:r>
        <w:rPr>
          <w:rFonts w:ascii="Calibri" w:hAnsi="Calibri" w:eastAsia="Calibri" w:cs="Calibri"/>
          <w:i/>
          <w:iCs/>
          <w:color w:val="000000"/>
          <w:sz w:val="22"/>
          <w:szCs w:val="22"/>
        </w:rPr>
        <w:t xml:space="preserve">Phaseolus</w:t>
      </w:r>
      <w:r>
        <w:rPr>
          <w:rFonts w:ascii="Calibri" w:hAnsi="Calibri" w:eastAsia="Calibri" w:cs="Calibri"/>
          <w:color w:val="000000"/>
          <w:sz w:val="22"/>
          <w:szCs w:val="22"/>
        </w:rPr>
        <w:t xml:space="preserve">, peas, chickpeas, tomatoes, aubergines,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w:t>
      </w:r>
      <w:r>
        <w:rPr>
          <w:rFonts w:ascii="Calibri" w:hAnsi="Calibri" w:eastAsia="Calibri" w:cs="Calibri"/>
          <w:color w:val="000000"/>
          <w:sz w:val="22"/>
          <w:szCs w:val="22"/>
        </w:rPr>
        <w:t xml:space="preserve"> and, to a lesser extent,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okras, cabbages, lettuces, strawberries, tobacco, sunflowers and Cucurbitaceae. Damage to fruit trees has also been recorded. Buds and flowers of a wide range of ornamentals are attacked. Most infestations are of field and garden crops, but invasion of greenhouses, though rare, can occur, and protected crops are clearly at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expression of host preference depends upon a complex of factors including spatial and temporal availability of the hosts at the preferred stage of development. Maize and grain sorghum are preferentially attacked in most locations, although legumes are widely infested. Cotton is a crop which is particularly susceptible to damage by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but is not a preferred (primary) host, because in many places it is only heavily attacked after alternative hosts have senesced or been harvested.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and other legumes are often important host plants in the spring before the annual crops are established. </w:t>
      </w:r>
    </w:p>
    <w:p>
      <w:pPr>
        <w:widowControl w:val="on"/>
        <w:pBdr/>
        <w:spacing w:before="220" w:after="220" w:line="240" w:lineRule="auto"/>
        <w:ind w:left="0" w:right="0"/>
        <w:jc w:val="both"/>
      </w:pPr>
      <w:r>
        <w:rPr>
          <w:rFonts w:ascii="Calibri" w:hAnsi="Calibri" w:eastAsia="Calibri" w:cs="Calibri"/>
          <w:color w:val="000000"/>
          <w:sz w:val="22"/>
          <w:szCs w:val="22"/>
        </w:rPr>
        <w:t xml:space="preserve">Many host crops for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are available in the EPPO region, especially in the southern part. Many wild host species could act as sources of infestation of commercial crops. Further north in the region, glasshouse crops could be attacked.</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information see Barber (1937), Neunzig (1963), Davidson &amp; Peairs (1966), Matthews (1991), Cunningham &amp; Zalucki (2014).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Acalypha persimilis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palmeri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Coronilla varia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scolymus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cicutarium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quadriradiata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dissectum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Glandularia bipinnatifida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sabdariffa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cordatotriloba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Lonicera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neglecta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pusilla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lupulina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repanda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Nuttallanthus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dichotomiflorum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Phacelia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Ruellia ciliatiflora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Ruellia runyonii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Sphaeralcea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Spinacia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Stachys bullata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more extreme northerly and southerly records are due to annual migrations. Hardwick (1965) regards this species as a seasonal migrant occurring regularly as far north and south as the 52nd parallels of latitude, from Saskatoon in the north to the Falkland Islands in the south.</w:t>
      </w:r>
    </w:p>
    <w:p>
      <w:r>
        <w:drawing>
          <wp:inline distT="0" distB="0" distL="0" distR="0">
            <wp:extent cx="6120000" cy="3067200"/>
            <wp:docPr id="97658776" name="name64906ad49b9485eb0" descr="HELIZ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IZE_distribution_map.jpg"/>
                    <pic:cNvPicPr/>
                  </pic:nvPicPr>
                  <pic:blipFill>
                    <a:blip r:embed="rId72146ad49b9485ea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Manitoba, New Brunswick, Nova Scotia, Ontario, Québec, Saskatchewan), Mexico, United States of America (Alabama, Arizona, Arkansas, California, Colorado, Connecticut, Delaware, Florida, Georgia, Hawaii, Idaho, Illinois, Indiana, Iowa, Kansas, Kentucky, Louisiana, Maine, Maryland, Massachusetts, Michigan, Minnesota, Mississippi, Missouri, Montana, Nebraska, Nevada, New Hampshire, New Jersey, New Mexico, New York, North Carolina, North Dakota, Ohio, Oklahoma, Oregon, Pennsylvania, Rhode Island, South Carolina, South Dakota, Tennessee, Texas, Utah, Vermont,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Bahamas, Barbados, Bermuda, Costa Rica, Cuba, Dominica, Dominican Republic, El Salvador, Guadeloupe, Guatemala, Haiti, Honduras, Jamaica, Martinique, Montserrat, Nicaragua, Panama, Puerto Rico, Saint Kitts and Nevis, Saint Lucia, Saint Vincent and the Grenadines, Trinidad and Tobago,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Ceara, Distrito Federal, Goias, Mato Grosso, Mato Grosso do Sul, Minas Gerais, Para, Parana, Pernambuco, Rio de Janeiro, Rio Grande do Sul, Roraima, Santa Catarina, Sao Paulo), Chile (Easter Island), Colombia, Ecuador, Falkland Islands, French Guiana, Guyana, Paraguay, Peru, Suriname,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mostly on the silks of maize plants in small numbers (one to three), stuck to the plant tissues. On other key host plant species, eggs are laid on soybean on the abaxial side of leaves, on cotton on leaves or fruiting structures, and on leaves or the panicle of grain sorghum. Choice of oviposition site by the female seems to be governed by a combination of physical and chemical cues. Female fecundity can be dependent upon the quality and quantity of larval food, and also on the quality of adult nutrition. Up to 3000 eggs have been laid by a single female in captivity, but 1000 to 1500 per female is more usual in the field. Hatching occurs after 2-8 days and the eggs change colour from green to yellow then grey. The tiny grey larvae first eat the egg shell, and after a short rest they wander actively for a while before starting to feed on the plant. On maize, they usually feed on the silks initially and then on the unpollinated tip of the ear and kernels after entering the tip of the husk. By the third instar, the larvae become cannibalistic and usually only one larva survives per cob. Feeding damage is typically confined to the tip of the cob. Larval development usually takes 14-25 (mean 16) days, but under cooler conditions 60 days are required. In the final instar (usually sixth) feeding ceases and the fully grown larva leaves the cob and descends to the ground. It then burrows into the soil for some 3-12 cm and forms an earthen cell, where it rests in a prepupal state for a day or two, before finally pupating. Two basic types of pupal diapause are recognized, one in relation to cold and the other in response to arid conditions. In the tropics, pupation takes 13 (10-14) days; with males typically taking 1 day longer to emerge than females. Diapausing pupae are viable at latitudes up to 40°N in the USA.</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nocturnal and emerge in the evenings. Flying adults respond to light radiation at night and are attracted to light traps (Hardwick, 1968), especially the ultra-violet type, as is the case for many other Noctuidae. Sex aggregation pheromones have been identified and synthesized for most of the </w:t>
      </w:r>
      <w:r>
        <w:rPr>
          <w:rFonts w:ascii="Calibri" w:hAnsi="Calibri" w:eastAsia="Calibri" w:cs="Calibri"/>
          <w:i/>
          <w:iCs/>
          <w:color w:val="000000"/>
          <w:sz w:val="22"/>
          <w:szCs w:val="22"/>
        </w:rPr>
        <w:t xml:space="preserve">Heliothis/Helicoverpa</w:t>
      </w:r>
      <w:r>
        <w:rPr>
          <w:rFonts w:ascii="Calibri" w:hAnsi="Calibri" w:eastAsia="Calibri" w:cs="Calibri"/>
          <w:color w:val="000000"/>
          <w:sz w:val="22"/>
          <w:szCs w:val="22"/>
        </w:rPr>
        <w:t xml:space="preserve"> pest species, and pheromone traps can be used for population monitoring. Adult longevity is recorded as being about 17 days in captivity; they drink water and feed on nectar from both floral and extra-floral nectaries. The moths fly strongly and are regular seasonal migrants, flying hundreds of kilometres, for example from the USA into Canada. They migrate by flying at high altitudes with prevailing wind currents.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can be completed in 28-30 days at 25°C. The number of generations varies from 1 in Canada to up to 10-11 generations per year in the tropics. All stages of the insect can be found throughout the year if food is available, but development is slowed or stopped by either drought or cold. In the Northern USA, there are only two generations per year.</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Hardwick (1965), Beirne (1971), Balachowsky (1972), Allemann (1979), King &amp; Saunders (1984), Fitt (1989).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Vegetative stage maize plants can have holes in the leaves following whorl-feeding on the apical leaf, although this type of feeding is generally rare. On maize plants at the reproductive stage, eggs can be found stuck to the silks. Young larvae feed on the silks as they move down the silk channel to feed on the ear. As the ears develop, kernels in the top few centimetres of the cobs can be eaten in addition to the unpollinated tip of the ear; usually only one large larva per cob can be seen.</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feed on contents of seeds of sorghum heads after chewing holes. While feeding on leaves of legume plants can occur, more significant damage is caused by feeding on seeds in pods. Feeding holes can be seen in tomato fruits, cotton bolls, cabbage and lettuce hearts, and flower heads.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Subspherical, radially ribbed, about 0.52 mm high and 0.59 mm wide, stuck singly to the plant substrate, green when laid, turning yellow and finally grey before hatching.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On hatching, the tiny grey larvae have a blackish head; they grow through six instars usually, but five and seven instars can occur, and the final body size is about 40 mm long. The colour of larvae can vary substantially from green, brown, pink, to yellow.  Longitudinal lines of white, cream or yellow are present, and the spiracular band is the most distinct. As the larvae develop, the pattern becomes more clearly defined, but in the sixth instar the colouration changes abruptly into a bright pattern, often pinkish, and with extra striations.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A typical noctuid pupa, shiny reddish-brown, about 16 mm long, and with two distinct terminal cremaster spines, and normally not identifiable to species level.</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 stout-bodied brown moth with a wing-span of 35-40 mm; forewing pale brown to greenish with darker transverse markings, underwings pale with a broad dark marginal band. The adults of both sexes are very similar in appearance, and both are indistinguishable based on their external morphology from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but differ in several details in their genitalia (Hardwick, 1965); microdissection and slide-mounting are required for specific determination, and some aspects are comparative so that a series of closely related species are needed for comparison.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Feeding damage is usually visible and the larvae can sometimes be seen on the surface of plants but often they are hidden within plant organs (including flowers and fruits). Bore holes may be visible, but otherwise it is necessary to cut open the plant organs to detect the pest. Larvae show a feeding preference for the reproductive parts of the host plant, and the lower surface of the leaves is a common preferred oviposition site in addition to reproductive plants parts such as silks (maize) and flowers. </w:t>
      </w:r>
    </w:p>
    <w:p>
      <w:pPr>
        <w:widowControl w:val="on"/>
        <w:pBdr/>
        <w:spacing w:before="220" w:after="220" w:line="240" w:lineRule="auto"/>
        <w:ind w:left="0" w:right="0"/>
        <w:jc w:val="both"/>
      </w:pPr>
      <w:r>
        <w:rPr>
          <w:rFonts w:ascii="Calibri" w:hAnsi="Calibri" w:eastAsia="Calibri" w:cs="Calibri"/>
          <w:color w:val="000000"/>
          <w:sz w:val="22"/>
          <w:szCs w:val="22"/>
        </w:rPr>
        <w:t xml:space="preserve">Sex-pheromone traps (species, or genus specific traps) have replaced light traps (non-specific species traps) as the former provide a more effective tool to monitor adult moths. These traps facilitate identification and monitoring of population levels to help with timing of insecticide applications. Bucket traps with a pheromone bait have been reported as the most efficient traps to catch </w:t>
      </w:r>
      <w:r>
        <w:rPr>
          <w:rFonts w:ascii="Calibri" w:hAnsi="Calibri" w:eastAsia="Calibri" w:cs="Calibri"/>
          <w:i/>
          <w:iCs/>
          <w:color w:val="000000"/>
          <w:sz w:val="22"/>
          <w:szCs w:val="22"/>
        </w:rPr>
        <w:t xml:space="preserve">Helicoverpa </w:t>
      </w:r>
      <w:r>
        <w:rPr>
          <w:rFonts w:ascii="Calibri" w:hAnsi="Calibri" w:eastAsia="Calibri" w:cs="Calibri"/>
          <w:color w:val="000000"/>
          <w:sz w:val="22"/>
          <w:szCs w:val="22"/>
        </w:rPr>
        <w:t xml:space="preserve">moths (Guerrero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20" w:after="220" w:line="240" w:lineRule="auto"/>
        <w:ind w:left="0" w:right="0"/>
        <w:jc w:val="both"/>
      </w:pPr>
      <w:r>
        <w:rPr>
          <w:rFonts w:ascii="Calibri" w:hAnsi="Calibri" w:eastAsia="Calibri" w:cs="Calibri"/>
          <w:color w:val="000000"/>
          <w:sz w:val="22"/>
          <w:szCs w:val="22"/>
        </w:rPr>
        <w:t xml:space="preserve">Identification of all stages in the EPPO region will be difficult in the field as they are very similar to </w:t>
      </w:r>
      <w:r>
        <w:rPr>
          <w:rFonts w:ascii="Calibri" w:hAnsi="Calibri" w:eastAsia="Calibri" w:cs="Calibri"/>
          <w:i/>
          <w:iCs/>
          <w:color w:val="000000"/>
          <w:sz w:val="22"/>
          <w:szCs w:val="22"/>
        </w:rPr>
        <w:t xml:space="preserve">H. armigera </w:t>
      </w:r>
      <w:r>
        <w:rPr>
          <w:rFonts w:ascii="Calibri" w:hAnsi="Calibri" w:eastAsia="Calibri" w:cs="Calibri"/>
          <w:color w:val="000000"/>
          <w:sz w:val="22"/>
          <w:szCs w:val="22"/>
        </w:rPr>
        <w:t xml:space="preserve">which is present in the EPPO region. Separation of the adult from similar species is most reliably done by reference to the male genitalia (Hardwick, 1965; Pogue, 2004) or using molecular tests. Protocols for DNA barcoding based on COI are described in Appendix 1 of EPPO Standard PM 7/129 and can be used to support the identification of </w:t>
      </w:r>
      <w:r>
        <w:rPr>
          <w:rFonts w:ascii="Calibri" w:hAnsi="Calibri" w:eastAsia="Calibri" w:cs="Calibri"/>
          <w:i/>
          <w:iCs/>
          <w:color w:val="000000"/>
          <w:sz w:val="22"/>
          <w:szCs w:val="22"/>
        </w:rPr>
        <w:t xml:space="preserve">H. armigera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 zea </w:t>
      </w:r>
      <w:r>
        <w:rPr>
          <w:rFonts w:ascii="Calibri" w:hAnsi="Calibri" w:eastAsia="Calibri" w:cs="Calibri"/>
          <w:color w:val="000000"/>
          <w:sz w:val="22"/>
          <w:szCs w:val="22"/>
        </w:rPr>
        <w:t xml:space="preserve">specimens (EPPO, 2021). A multiplex real-time PCR test was also developed to distinguish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zea </w:t>
      </w:r>
      <w:r>
        <w:rPr>
          <w:rFonts w:ascii="Calibri" w:hAnsi="Calibri" w:eastAsia="Calibri" w:cs="Calibri"/>
          <w:color w:val="000000"/>
          <w:sz w:val="22"/>
          <w:szCs w:val="22"/>
        </w:rPr>
        <w:t xml:space="preserve">(Gilligan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Given the known economic impact of the species worldwide, accurate identification is key to avoiding costly impacts in valuable economic crops.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PM 7/19 focuses on the detection and identification of </w:t>
      </w:r>
      <w:r>
        <w:rPr>
          <w:rFonts w:ascii="Calibri" w:hAnsi="Calibri" w:eastAsia="Calibri" w:cs="Calibri"/>
          <w:i/>
          <w:iCs/>
          <w:color w:val="000000"/>
          <w:sz w:val="22"/>
          <w:szCs w:val="22"/>
        </w:rPr>
        <w:t xml:space="preserve">H. armigera</w:t>
      </w:r>
      <w:r>
        <w:rPr>
          <w:rFonts w:ascii="Calibri" w:hAnsi="Calibri" w:eastAsia="Calibri" w:cs="Calibri"/>
          <w:color w:val="000000"/>
          <w:sz w:val="22"/>
          <w:szCs w:val="22"/>
        </w:rPr>
        <w:t xml:space="preserve"> (EPPO, 2003), but possible confusions with other species including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are also covered.</w:t>
      </w:r>
    </w:p>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is a facultative seasonal nocturnal migrant, and adults migrate in response to poor local conditions for reproduction, when weather conditions are suitable. Movement of </w:t>
      </w:r>
      <w:r>
        <w:rPr>
          <w:rFonts w:ascii="Calibri" w:hAnsi="Calibri" w:eastAsia="Calibri" w:cs="Calibri"/>
          <w:i/>
          <w:iCs/>
          <w:color w:val="000000"/>
          <w:sz w:val="22"/>
          <w:szCs w:val="22"/>
        </w:rPr>
        <w:t xml:space="preserve">Helicoverpa</w:t>
      </w:r>
      <w:r>
        <w:rPr>
          <w:rFonts w:ascii="Calibri" w:hAnsi="Calibri" w:eastAsia="Calibri" w:cs="Calibri"/>
          <w:color w:val="000000"/>
          <w:sz w:val="22"/>
          <w:szCs w:val="22"/>
        </w:rPr>
        <w:t xml:space="preserve"> moths can be classified into three types: short-range, long-range, and migration. Short-range dispersal is usually within the crop and low over the foliage, and largely independent of wind currents. Long-range flights are higher (up to 10 m), farther (1-10 km), and usually downwind, from crop to crop. Migratory flights occur at higher altitudes (up to 1-2 km) and may last for several hours. The moths can be carried downwind hundreds of kilometres - 400 km is not uncommon for such a flight. Moths originating in Mexico and the Southern USA can migrate northwards in the early spring and summer (Westbrook JK &amp; López 2010). Probably three generations are required to affect the annual displacement from Mexico up to southern Ontario. </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eggs and larvae of </w:t>
      </w:r>
      <w:r>
        <w:rPr>
          <w:rFonts w:ascii="Calibri" w:hAnsi="Calibri" w:eastAsia="Calibri" w:cs="Calibri"/>
          <w:i/>
          <w:iCs/>
          <w:color w:val="000000"/>
          <w:sz w:val="22"/>
          <w:szCs w:val="22"/>
        </w:rPr>
        <w:t xml:space="preserve">H. zea </w:t>
      </w:r>
      <w:r>
        <w:rPr>
          <w:rFonts w:ascii="Calibri" w:hAnsi="Calibri" w:eastAsia="Calibri" w:cs="Calibri"/>
          <w:color w:val="000000"/>
          <w:sz w:val="22"/>
          <w:szCs w:val="22"/>
        </w:rPr>
        <w:t xml:space="preserve">can be transported with host plants, cut flowers, fruit and vegetables (EFSA, 2020; Gilligan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is regularly intercepted on consignments of cuttings and cut flowers (e.g. dianthus, roses), fruit and vegetables (e.g.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maize cobs, physalis).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was reported as the second most economically important pest species (preceded by codling moth) (Hardwick, 1965), and Fitt (1989) quoted the estimated annual cost of damage by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virescens</w:t>
      </w:r>
      <w:r>
        <w:rPr>
          <w:rFonts w:ascii="Calibri" w:hAnsi="Calibri" w:eastAsia="Calibri" w:cs="Calibri"/>
          <w:color w:val="000000"/>
          <w:sz w:val="22"/>
          <w:szCs w:val="22"/>
        </w:rPr>
        <w:t xml:space="preserve"> together on all crops in the USA as more than 1000 million USD, despite the expenditure of 250 million USD on insecticide application. However, a decline in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populations in some regions of the USA has been reported due to widespread planting of Bt maize in 1996-2016 compared to the pre-Bt era of 1976-1995; this suppression may provide benefits for many crops that are susceptible to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feeding (Dively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t>
      </w:r>
    </w:p>
    <w:p>
      <w:pPr>
        <w:widowControl w:val="on"/>
        <w:pBdr/>
        <w:spacing w:before="220" w:after="220" w:line="240" w:lineRule="auto"/>
        <w:ind w:left="0" w:right="0"/>
        <w:jc w:val="both"/>
      </w:pPr>
      <w:r>
        <w:rPr>
          <w:rFonts w:ascii="Calibri" w:hAnsi="Calibri" w:eastAsia="Calibri" w:cs="Calibri"/>
          <w:color w:val="000000"/>
          <w:sz w:val="22"/>
          <w:szCs w:val="22"/>
        </w:rPr>
        <w:t xml:space="preserve">Reasons for the high impacts of this agricultural pest include its high fecundity (high number of eggs laid), polyphagous larval feeding habits, high mobility of both larvae locally and adults with their facultative seasonal migration, and a facultative pupal diapause.</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is usually serious and costly because of the larval feeding preference for the reproductive structures and growing points rich in nitrogen (e.g. sorghum heads, cotton bolls and buds), and has a direct influence on yield. Many of the crops attacked are of high value (cotton, maize, tomatoes). In sweet corn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Zea mays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saccharata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is a major economic pest, though losses are mainly due to aesthetic reasons (Olmstead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Infestations of maize grown for silage or for grain are not of direct economic importance - losses are typically much less than 5% (and are often not detectable) and no control measures are taken (Bibb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Olivi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but these crops may serve as a focus, or reservoir of infestation. In many areas, the first generation is generally not regarded as a pest (often on wild hosts) and it does not become an economic pest on cultivated crops until the second, third or even fourth generation (Reay-Jones,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has been advocated in the USA since the middle of the 19th century, and measures used fall into two broad categories, those aimed at an overall pest population reduction, and others aimed at the protection of a particular crop. Integrated pest management (IPM) strategies can be used to promote more sustainable management programs (Bottrell, 1979, Swenson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Olmstead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Various cultural practices can be used to kill the different life stages, including deep ploughing, discing and other methods of mechanical destruction to kill pupae in the soil, manipulation of sowing dates and use of trap crops. Use of resistant cultivars and topping of the crop to hasten ripening can minimize infestation levels and consequent damage. In many areas, natural control of this pest may be effective. Insect parasitoids attack the eggs (especially </w:t>
      </w:r>
      <w:r>
        <w:rPr>
          <w:rFonts w:ascii="Calibri" w:hAnsi="Calibri" w:eastAsia="Calibri" w:cs="Calibri"/>
          <w:i/>
          <w:iCs/>
          <w:color w:val="000000"/>
          <w:sz w:val="22"/>
          <w:szCs w:val="22"/>
        </w:rPr>
        <w:t xml:space="preserve">Trichogramma</w:t>
      </w:r>
      <w:r>
        <w:rPr>
          <w:rFonts w:ascii="Calibri" w:hAnsi="Calibri" w:eastAsia="Calibri" w:cs="Calibri"/>
          <w:color w:val="000000"/>
          <w:sz w:val="22"/>
          <w:szCs w:val="22"/>
        </w:rPr>
        <w:t xml:space="preserve"> spp.) and larvae, and some predators can be important in reducing pest populations. Nucleopolyhedroviruses that are specific to Heliothines (including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and the related species </w:t>
      </w:r>
      <w:r>
        <w:rPr>
          <w:rFonts w:ascii="Calibri" w:hAnsi="Calibri" w:eastAsia="Calibri" w:cs="Calibri"/>
          <w:i/>
          <w:iCs/>
          <w:color w:val="000000"/>
          <w:sz w:val="22"/>
          <w:szCs w:val="22"/>
        </w:rPr>
        <w:t xml:space="preserve">Heliothis virescens</w:t>
      </w:r>
      <w:r>
        <w:rPr>
          <w:rFonts w:ascii="Calibri" w:hAnsi="Calibri" w:eastAsia="Calibri" w:cs="Calibri"/>
          <w:color w:val="000000"/>
          <w:sz w:val="22"/>
          <w:szCs w:val="22"/>
        </w:rPr>
        <w:t xml:space="preserve">) can also be applied as biopesticides that infect larvae (Black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The prospects for long-term biological control of </w:t>
      </w:r>
      <w:r>
        <w:rPr>
          <w:rFonts w:ascii="Calibri" w:hAnsi="Calibri" w:eastAsia="Calibri" w:cs="Calibri"/>
          <w:i/>
          <w:iCs/>
          <w:color w:val="000000"/>
          <w:sz w:val="22"/>
          <w:szCs w:val="22"/>
        </w:rPr>
        <w:t xml:space="preserve">Heliothis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Helicoverpa</w:t>
      </w:r>
      <w:r>
        <w:rPr>
          <w:rFonts w:ascii="Calibri" w:hAnsi="Calibri" w:eastAsia="Calibri" w:cs="Calibri"/>
          <w:color w:val="000000"/>
          <w:sz w:val="22"/>
          <w:szCs w:val="22"/>
        </w:rPr>
        <w:t xml:space="preserve"> spp. are discussed by King &amp; Coleman (1989) and Sithanantham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and clearly this should be an important component of any regional IPM programme. The use of pheromones to disrupt moth mating has also been investigated (Mitchell and Mclaughlin, 1982), though more research is needed to develop mating disruption as an effective management tool. </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of the larvae has been the most widely used and generally successful method of pest destruction on most crops, but it is not easy because larvae are difficult to reach with insecticides once they are protected within a plant. In sweet corn, insecticide applications should be timed to silk emergence to coincide with oviposition on silks. Once young larvae reach the ear, they are better protected from the insecticide, and control is more challenging. Sex-pheromone traps facilitate monitoring of population levels to help with timing of insecticide applications. The early history of chemical control of corn earworms is given by Hardwick (1965) and COPR (1983; p. 87). Pesticide resistance has been documented since the 1980s and is quite widespread (Fitt, 1989) especially on cotton crops. </w:t>
      </w:r>
    </w:p>
    <w:p>
      <w:pPr>
        <w:widowControl w:val="on"/>
        <w:pBdr/>
        <w:spacing w:before="220" w:after="220" w:line="240" w:lineRule="auto"/>
        <w:ind w:left="0" w:right="0"/>
        <w:jc w:val="both"/>
      </w:pPr>
      <w:r>
        <w:rPr>
          <w:rFonts w:ascii="Calibri" w:hAnsi="Calibri" w:eastAsia="Calibri" w:cs="Calibri"/>
          <w:color w:val="000000"/>
          <w:sz w:val="22"/>
          <w:szCs w:val="22"/>
        </w:rPr>
        <w:t xml:space="preserve">Transgenic maize, cotton, and soybean that express insecticidal toxins from the bacterium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(Bt) can also provide control or suppression of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and related crop damage. In maize, Bt hybrids are available in some countries for both field maize and sweet corn. Resistance to Bt in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has been widely documented (Tabashnik and Carriere, 2017), though some Bt traits can help to reduce damage.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 zea </w:t>
      </w:r>
      <w:r>
        <w:rPr>
          <w:rFonts w:ascii="Calibri" w:hAnsi="Calibri" w:eastAsia="Calibri" w:cs="Calibri"/>
          <w:color w:val="000000"/>
          <w:sz w:val="22"/>
          <w:szCs w:val="22"/>
        </w:rPr>
        <w:t xml:space="preserve">is a polyphagous pest which can attack many crops of economic importance in the EPPO region (e.g. maize, cotton, tomato, ornamentals). Considering its current distribution,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could establish in most of the EPPO region, and is likely to cause similar damage as in the USA. It should be noted that the use of transgenic Bt crops is not authorized in most of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Imported host plant material for planting should come from an area where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does not occur or from a place of production where </w:t>
      </w:r>
      <w:r>
        <w:rPr>
          <w:rFonts w:ascii="Calibri" w:hAnsi="Calibri" w:eastAsia="Calibri" w:cs="Calibri"/>
          <w:i/>
          <w:iCs/>
          <w:color w:val="000000"/>
          <w:sz w:val="22"/>
          <w:szCs w:val="22"/>
        </w:rPr>
        <w:t xml:space="preserve">H. zea </w:t>
      </w:r>
      <w:r>
        <w:rPr>
          <w:rFonts w:ascii="Calibri" w:hAnsi="Calibri" w:eastAsia="Calibri" w:cs="Calibri"/>
          <w:color w:val="000000"/>
          <w:sz w:val="22"/>
          <w:szCs w:val="22"/>
        </w:rPr>
        <w:t xml:space="preserve">has not been detected during the previous 3 months. </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host plant products can be treated to kill larvae e.g. by irradiation (Hallman,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 selection of sources is listed in this section. Bibliographies are included in the monograph by Hardwick (1965) (2000 titles on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and the reviews by Fitt (1989) (194 titles), and King &amp; Coleman (1989) (159 references). Most of the basic research on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was done in the early 1900s and published under early synonyms. Many references to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are made in publications relating to the cultivation/protection of specific crops, e.g. Chiang (1978), COPR (1983), Pitre (1985), Swenson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Olmstead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Reay-Jones (2019).</w:t>
      </w:r>
    </w:p>
    <w:p>
      <w:pPr>
        <w:widowControl w:val="on"/>
        <w:pBdr/>
        <w:spacing w:before="220" w:after="220" w:line="240" w:lineRule="auto"/>
        <w:ind w:left="0" w:right="0"/>
        <w:jc w:val="left"/>
      </w:pPr>
      <w:r>
        <w:rPr>
          <w:rFonts w:ascii="Calibri" w:hAnsi="Calibri" w:eastAsia="Calibri" w:cs="Calibri"/>
          <w:color w:val="000000"/>
          <w:sz w:val="22"/>
          <w:szCs w:val="22"/>
        </w:rPr>
        <w:t xml:space="preserve">Allemann DV (1979) Maize pests in the USA. </w:t>
      </w:r>
      <w:r>
        <w:rPr>
          <w:rFonts w:ascii="Calibri" w:hAnsi="Calibri" w:eastAsia="Calibri" w:cs="Calibri"/>
          <w:i/>
          <w:iCs/>
          <w:color w:val="000000"/>
          <w:sz w:val="22"/>
          <w:szCs w:val="22"/>
        </w:rPr>
        <w:t xml:space="preserve">Maize (Technical Monograph)</w:t>
      </w:r>
      <w:r>
        <w:rPr>
          <w:rFonts w:ascii="Calibri" w:hAnsi="Calibri" w:eastAsia="Calibri" w:cs="Calibri"/>
          <w:color w:val="000000"/>
          <w:sz w:val="22"/>
          <w:szCs w:val="22"/>
        </w:rPr>
        <w:t xml:space="preserve">, pp. 58-63. Ciba-Geigy Agrochemicals, Basle, Switzerland.</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AS (Editor) (1972) </w:t>
      </w:r>
      <w:r>
        <w:rPr>
          <w:rFonts w:ascii="Calibri" w:hAnsi="Calibri" w:eastAsia="Calibri" w:cs="Calibri"/>
          <w:i/>
          <w:iCs/>
          <w:color w:val="000000"/>
          <w:sz w:val="22"/>
          <w:szCs w:val="22"/>
        </w:rPr>
        <w:t xml:space="preserve">Entomologie appliquée à l'agriculture. Tome II. Lepidoptères. Deuxième Volume, Zygaenoidea - Pyraloides - Noctuidae</w:t>
      </w:r>
      <w:r>
        <w:rPr>
          <w:rFonts w:ascii="Calibri" w:hAnsi="Calibri" w:eastAsia="Calibri" w:cs="Calibri"/>
          <w:color w:val="000000"/>
          <w:sz w:val="22"/>
          <w:szCs w:val="22"/>
        </w:rPr>
        <w:t xml:space="preserve">, pp. 1059-1634. Masson et Cie,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Barber GW (1937) Seasonal availability of food plants of two species of </w:t>
      </w:r>
      <w:r>
        <w:rPr>
          <w:rFonts w:ascii="Calibri" w:hAnsi="Calibri" w:eastAsia="Calibri" w:cs="Calibri"/>
          <w:i/>
          <w:iCs/>
          <w:color w:val="000000"/>
          <w:sz w:val="22"/>
          <w:szCs w:val="22"/>
        </w:rPr>
        <w:t xml:space="preserve">Heliothis</w:t>
      </w:r>
      <w:r>
        <w:rPr>
          <w:rFonts w:ascii="Calibri" w:hAnsi="Calibri" w:eastAsia="Calibri" w:cs="Calibri"/>
          <w:color w:val="000000"/>
          <w:sz w:val="22"/>
          <w:szCs w:val="22"/>
        </w:rPr>
        <w:t xml:space="preserve"> in eastern Georgia.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(1), 150-158.</w:t>
      </w:r>
    </w:p>
    <w:p>
      <w:pPr>
        <w:widowControl w:val="on"/>
        <w:pBdr/>
        <w:spacing w:before="220" w:after="220" w:line="240" w:lineRule="auto"/>
        <w:ind w:left="0" w:right="0"/>
        <w:jc w:val="left"/>
      </w:pPr>
      <w:r>
        <w:rPr>
          <w:rFonts w:ascii="Calibri" w:hAnsi="Calibri" w:eastAsia="Calibri" w:cs="Calibri"/>
          <w:color w:val="000000"/>
          <w:sz w:val="22"/>
          <w:szCs w:val="22"/>
        </w:rPr>
        <w:t xml:space="preserve">Beirne BP (1971) Pest insects of annual crop plants in Canada. I. Lepidoptera, II. Diptera, III. Coleoptera. </w:t>
      </w:r>
      <w:r>
        <w:rPr>
          <w:rFonts w:ascii="Calibri" w:hAnsi="Calibri" w:eastAsia="Calibri" w:cs="Calibri"/>
          <w:i/>
          <w:iCs/>
          <w:color w:val="000000"/>
          <w:sz w:val="22"/>
          <w:szCs w:val="22"/>
        </w:rPr>
        <w:t xml:space="preserve">Memoirs of the Entomological Society of Canada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103 </w:t>
      </w:r>
      <w:r>
        <w:rPr>
          <w:rFonts w:ascii="Calibri" w:hAnsi="Calibri" w:eastAsia="Calibri" w:cs="Calibri"/>
          <w:color w:val="000000"/>
          <w:sz w:val="22"/>
          <w:szCs w:val="22"/>
        </w:rPr>
        <w:t xml:space="preserve">(supplement S78), 1-124.</w:t>
      </w:r>
    </w:p>
    <w:p>
      <w:pPr>
        <w:widowControl w:val="on"/>
        <w:pBdr/>
        <w:spacing w:before="220" w:after="220" w:line="240" w:lineRule="auto"/>
        <w:ind w:left="0" w:right="0"/>
        <w:jc w:val="left"/>
      </w:pPr>
      <w:r>
        <w:rPr>
          <w:rFonts w:ascii="Calibri" w:hAnsi="Calibri" w:eastAsia="Calibri" w:cs="Calibri"/>
          <w:color w:val="000000"/>
          <w:sz w:val="22"/>
          <w:szCs w:val="22"/>
        </w:rPr>
        <w:t xml:space="preserve">Bibb JL, Cook D, Catchot A, Musser F, Stewart SD, Leonard BR, Buntin GD, Kerns D, Allen TW, Gore J (2018) Impact of corn earworm (Lepidoptera: Noctuidae) on field corn (Poales: Poaceae) yield and grain quality.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(3), 1249-1255.</w:t>
      </w:r>
    </w:p>
    <w:p>
      <w:pPr>
        <w:widowControl w:val="on"/>
        <w:pBdr/>
        <w:spacing w:before="220" w:after="220" w:line="240" w:lineRule="auto"/>
        <w:ind w:left="0" w:right="0"/>
        <w:jc w:val="left"/>
      </w:pPr>
      <w:r>
        <w:rPr>
          <w:rFonts w:ascii="Calibri" w:hAnsi="Calibri" w:eastAsia="Calibri" w:cs="Calibri"/>
          <w:color w:val="000000"/>
          <w:sz w:val="22"/>
          <w:szCs w:val="22"/>
        </w:rPr>
        <w:t xml:space="preserve">Black JL, Lorenz GM, Cato AJ, Bateman NR, Seiter NJ (2022) Efficacy of </w:t>
      </w:r>
      <w:r>
        <w:rPr>
          <w:rFonts w:ascii="Calibri" w:hAnsi="Calibri" w:eastAsia="Calibri" w:cs="Calibri"/>
          <w:i/>
          <w:iCs/>
          <w:color w:val="000000"/>
          <w:sz w:val="22"/>
          <w:szCs w:val="22"/>
        </w:rPr>
        <w:t xml:space="preserve">Helicoverpa armigera</w:t>
      </w:r>
      <w:r>
        <w:rPr>
          <w:rFonts w:ascii="Calibri" w:hAnsi="Calibri" w:eastAsia="Calibri" w:cs="Calibri"/>
          <w:color w:val="000000"/>
          <w:sz w:val="22"/>
          <w:szCs w:val="22"/>
        </w:rPr>
        <w:t xml:space="preserve"> nucleopolyhedrovirus on soybean for control of </w:t>
      </w:r>
      <w:r>
        <w:rPr>
          <w:rFonts w:ascii="Calibri" w:hAnsi="Calibri" w:eastAsia="Calibri" w:cs="Calibri"/>
          <w:i/>
          <w:iCs/>
          <w:color w:val="000000"/>
          <w:sz w:val="22"/>
          <w:szCs w:val="22"/>
        </w:rPr>
        <w:t xml:space="preserve">Helicoverpa zea</w:t>
      </w:r>
      <w:r>
        <w:rPr>
          <w:rFonts w:ascii="Calibri" w:hAnsi="Calibri" w:eastAsia="Calibri" w:cs="Calibri"/>
          <w:color w:val="000000"/>
          <w:sz w:val="22"/>
          <w:szCs w:val="22"/>
        </w:rPr>
        <w:t xml:space="preserve"> (Boddie) (Lepidoptera: Noctuidae) in Arkansas Agriculture.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(1), 91. </w:t>
      </w:r>
      <w:hyperlink r:id="rId15886ad49b9486f9b" w:history="1">
        <w:r>
          <w:rPr>
            <w:rFonts w:ascii="Calibri" w:hAnsi="Calibri" w:eastAsia="Calibri" w:cs="Calibri"/>
            <w:color w:val="0000CC"/>
            <w:sz w:val="22"/>
            <w:szCs w:val="22"/>
            <w:u w:val="single"/>
          </w:rPr>
          <w:t xml:space="preserve">https://doi.org/10.3390/insects13010091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Bottrell DG (1979) Guidelines for integrated control of maize pests. </w:t>
      </w:r>
      <w:r>
        <w:rPr>
          <w:rFonts w:ascii="Calibri" w:hAnsi="Calibri" w:eastAsia="Calibri" w:cs="Calibri"/>
          <w:i/>
          <w:iCs/>
          <w:color w:val="000000"/>
          <w:sz w:val="22"/>
          <w:szCs w:val="22"/>
        </w:rPr>
        <w:t xml:space="preserve">FAO, Plant Production and Protection Paper</w:t>
      </w:r>
      <w:r>
        <w:rPr>
          <w:rFonts w:ascii="Calibri" w:hAnsi="Calibri" w:eastAsia="Calibri" w:cs="Calibri"/>
          <w:color w:val="000000"/>
          <w:sz w:val="22"/>
          <w:szCs w:val="22"/>
        </w:rPr>
        <w:t xml:space="preserve"> No. 91, 18 pp. FAO, Rome, Italy.</w:t>
      </w:r>
    </w:p>
    <w:p>
      <w:pPr>
        <w:widowControl w:val="on"/>
        <w:pBdr/>
        <w:spacing w:before="220" w:after="220" w:line="240" w:lineRule="auto"/>
        <w:ind w:left="0" w:right="0"/>
        <w:jc w:val="left"/>
      </w:pPr>
      <w:r>
        <w:rPr>
          <w:rFonts w:ascii="Calibri" w:hAnsi="Calibri" w:eastAsia="Calibri" w:cs="Calibri"/>
          <w:color w:val="000000"/>
          <w:sz w:val="22"/>
          <w:szCs w:val="22"/>
        </w:rPr>
        <w:t xml:space="preserve">Chiang HC (1978) Pest management in corn.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101-123.</w:t>
      </w:r>
    </w:p>
    <w:p>
      <w:pPr>
        <w:widowControl w:val="on"/>
        <w:pBdr/>
        <w:spacing w:before="220" w:after="220" w:line="240" w:lineRule="auto"/>
        <w:ind w:left="0" w:right="0"/>
        <w:jc w:val="left"/>
      </w:pPr>
      <w:r>
        <w:rPr>
          <w:rFonts w:ascii="Calibri" w:hAnsi="Calibri" w:eastAsia="Calibri" w:cs="Calibri"/>
          <w:color w:val="000000"/>
          <w:sz w:val="22"/>
          <w:szCs w:val="22"/>
        </w:rPr>
        <w:t xml:space="preserve">COPR (1983) </w:t>
      </w:r>
      <w:r>
        <w:rPr>
          <w:rFonts w:ascii="Calibri" w:hAnsi="Calibri" w:eastAsia="Calibri" w:cs="Calibri"/>
          <w:i/>
          <w:iCs/>
          <w:color w:val="000000"/>
          <w:sz w:val="22"/>
          <w:szCs w:val="22"/>
        </w:rPr>
        <w:t xml:space="preserve">Pest control in tropical tomatoes</w:t>
      </w:r>
      <w:r>
        <w:rPr>
          <w:rFonts w:ascii="Calibri" w:hAnsi="Calibri" w:eastAsia="Calibri" w:cs="Calibri"/>
          <w:color w:val="000000"/>
          <w:sz w:val="22"/>
          <w:szCs w:val="22"/>
        </w:rPr>
        <w:t xml:space="preserve">. COPR,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Cordeiro EMG, Pantoja-Gomez L, de Paiva JB (2020) Hybridization and introgression between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an adaptational bridge. </w:t>
      </w:r>
      <w:r>
        <w:rPr>
          <w:rFonts w:ascii="Calibri" w:hAnsi="Calibri" w:eastAsia="Calibri" w:cs="Calibri"/>
          <w:i/>
          <w:iCs/>
          <w:color w:val="000000"/>
          <w:sz w:val="22"/>
          <w:szCs w:val="22"/>
        </w:rPr>
        <w:t xml:space="preserve">BMC Evolutionary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1-12.</w:t>
      </w:r>
    </w:p>
    <w:p>
      <w:pPr>
        <w:widowControl w:val="on"/>
        <w:pBdr/>
        <w:spacing w:before="220" w:after="220" w:line="240" w:lineRule="auto"/>
        <w:ind w:left="0" w:right="0"/>
        <w:jc w:val="left"/>
      </w:pPr>
      <w:r>
        <w:rPr>
          <w:rFonts w:ascii="Calibri" w:hAnsi="Calibri" w:eastAsia="Calibri" w:cs="Calibri"/>
          <w:color w:val="000000"/>
          <w:sz w:val="22"/>
          <w:szCs w:val="22"/>
        </w:rPr>
        <w:t xml:space="preserve">Cunningham JP, Zalucki MP (2014) Understanding heliothine (Lepidoptera: Heliothinae) pests: what is a host plant?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881–896.</w:t>
      </w:r>
    </w:p>
    <w:p>
      <w:pPr>
        <w:widowControl w:val="on"/>
        <w:pBdr/>
        <w:spacing w:before="220" w:after="220" w:line="240" w:lineRule="auto"/>
        <w:ind w:left="0" w:right="0"/>
        <w:jc w:val="left"/>
      </w:pPr>
      <w:r>
        <w:rPr>
          <w:rFonts w:ascii="Calibri" w:hAnsi="Calibri" w:eastAsia="Calibri" w:cs="Calibri"/>
          <w:color w:val="000000"/>
          <w:sz w:val="22"/>
          <w:szCs w:val="22"/>
        </w:rPr>
        <w:t xml:space="preserve">Davidson RH, Peairs LM (1966) </w:t>
      </w:r>
      <w:r>
        <w:rPr>
          <w:rFonts w:ascii="Calibri" w:hAnsi="Calibri" w:eastAsia="Calibri" w:cs="Calibri"/>
          <w:i/>
          <w:iCs/>
          <w:color w:val="000000"/>
          <w:sz w:val="22"/>
          <w:szCs w:val="22"/>
        </w:rPr>
        <w:t xml:space="preserve">Insect pests of farm, garden and orchard</w:t>
      </w:r>
      <w:r>
        <w:rPr>
          <w:rFonts w:ascii="Calibri" w:hAnsi="Calibri" w:eastAsia="Calibri" w:cs="Calibri"/>
          <w:color w:val="000000"/>
          <w:sz w:val="22"/>
          <w:szCs w:val="22"/>
        </w:rPr>
        <w:t xml:space="preserve"> (6th edition). Wiley,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Dively GP, Venugopal PD, Bean D, Whalen J, Holmstrom K, Kuhar TP, Doughty HB, Patton T, Cissel W, Hutchison WD (2018) Regional pest suppression associated with widespread Bt maize adoption benefits vegetable growers. Proceedings of the National Academy of Sciences. 115(13), 3320-3325.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(2003) EPPO Standards. Diagnostic protocols for regulated pests. PM 7/ 19 </w:t>
      </w:r>
      <w:r>
        <w:rPr>
          <w:rFonts w:ascii="Calibri" w:hAnsi="Calibri" w:eastAsia="Calibri" w:cs="Calibri"/>
          <w:i/>
          <w:iCs/>
          <w:color w:val="000000"/>
          <w:sz w:val="22"/>
          <w:szCs w:val="22"/>
        </w:rPr>
        <w:t xml:space="preserve">Helicoverpa armigera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245-247. Available at </w:t>
      </w:r>
      <w:hyperlink r:id="rId21526ad49b948724f"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Standards. Diagnostic protocols for regulated pests. PM 7/ 129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100-143. Available at </w:t>
      </w:r>
      <w:hyperlink r:id="rId62966ad49b94872c1" w:history="1">
        <w:r>
          <w:rPr>
            <w:rFonts w:ascii="Calibri" w:hAnsi="Calibri" w:eastAsia="Calibri" w:cs="Calibri"/>
            <w:color w:val="0000CC"/>
            <w:sz w:val="22"/>
            <w:szCs w:val="22"/>
            <w:u w:val="single"/>
          </w:rPr>
          <w:t xml:space="preserve">https://gd.eppo.int/standards/PM7/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Fitt GP (1989) The ecology of </w:t>
      </w:r>
      <w:r>
        <w:rPr>
          <w:rFonts w:ascii="Calibri" w:hAnsi="Calibri" w:eastAsia="Calibri" w:cs="Calibri"/>
          <w:i/>
          <w:iCs/>
          <w:color w:val="000000"/>
          <w:sz w:val="22"/>
          <w:szCs w:val="22"/>
        </w:rPr>
        <w:t xml:space="preserve">Heliothis</w:t>
      </w:r>
      <w:r>
        <w:rPr>
          <w:rFonts w:ascii="Calibri" w:hAnsi="Calibri" w:eastAsia="Calibri" w:cs="Calibri"/>
          <w:color w:val="000000"/>
          <w:sz w:val="22"/>
          <w:szCs w:val="22"/>
        </w:rPr>
        <w:t xml:space="preserve"> species in relation to agro-ecosystems.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(1), 17-52.</w:t>
      </w:r>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Tembrock LR, Farris RE, Barr NB, van der Straten MJ, van de Vossenberg BTLH, Metz-Verschure E (2015) A multiplex real-time PCR assay to diagnose and separate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H. zea</w:t>
      </w:r>
      <w:r>
        <w:rPr>
          <w:rFonts w:ascii="Calibri" w:hAnsi="Calibri" w:eastAsia="Calibri" w:cs="Calibri"/>
          <w:color w:val="000000"/>
          <w:sz w:val="22"/>
          <w:szCs w:val="22"/>
        </w:rPr>
        <w:t xml:space="preserve"> (Lepidoptera: Noctuidae) in the New World. </w:t>
      </w:r>
      <w:r>
        <w:rPr>
          <w:rFonts w:ascii="Calibri" w:hAnsi="Calibri" w:eastAsia="Calibri" w:cs="Calibri"/>
          <w:i/>
          <w:iCs/>
          <w:color w:val="000000"/>
          <w:sz w:val="22"/>
          <w:szCs w:val="22"/>
        </w:rPr>
        <w:t xml:space="preserve">PLoS One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e0142912. </w:t>
      </w:r>
      <w:hyperlink r:id="rId40976ad49b94873e0" w:history="1">
        <w:r>
          <w:rPr>
            <w:rFonts w:ascii="Calibri" w:hAnsi="Calibri" w:eastAsia="Calibri" w:cs="Calibri"/>
            <w:color w:val="0000CC"/>
            <w:sz w:val="22"/>
            <w:szCs w:val="22"/>
            <w:u w:val="single"/>
          </w:rPr>
          <w:t xml:space="preserve">https://doi.org/10.1371/journal.pone.0142912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Goldstein PZ, Timm AE, Farris R, Ledezma L, Cunningham AP (2019) Identification of heliothine (Lepidoptera: Noctuidae) larvae intercepted at U.S. ports of entry from the New World.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603-615. </w:t>
      </w:r>
    </w:p>
    <w:p>
      <w:pPr>
        <w:widowControl w:val="on"/>
        <w:pBdr/>
        <w:spacing w:before="220" w:after="220" w:line="240" w:lineRule="auto"/>
        <w:ind w:left="0" w:right="0"/>
        <w:jc w:val="left"/>
      </w:pPr>
      <w:r>
        <w:rPr>
          <w:rFonts w:ascii="Calibri" w:hAnsi="Calibri" w:eastAsia="Calibri" w:cs="Calibri"/>
          <w:color w:val="000000"/>
          <w:sz w:val="22"/>
          <w:szCs w:val="22"/>
        </w:rPr>
        <w:t xml:space="preserve">Guerrero S, Brambila J, Meagher RL (2014) Efficacies of four pheromone-baited traps in capturing male Helicoverap (Lepidoptera: Noctuidae) moths in Northern Florida.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(4), 1671-1678.</w:t>
      </w:r>
    </w:p>
    <w:p>
      <w:pPr>
        <w:widowControl w:val="on"/>
        <w:pBdr/>
        <w:spacing w:before="220" w:after="220" w:line="240" w:lineRule="auto"/>
        <w:ind w:left="0" w:right="0"/>
        <w:jc w:val="left"/>
      </w:pPr>
      <w:r>
        <w:rPr>
          <w:rFonts w:ascii="Calibri" w:hAnsi="Calibri" w:eastAsia="Calibri" w:cs="Calibri"/>
          <w:color w:val="000000"/>
          <w:sz w:val="22"/>
          <w:szCs w:val="22"/>
        </w:rPr>
        <w:t xml:space="preserve">Hallman GJ (2016) Phytosanitary irradiation of </w:t>
      </w:r>
      <w:r>
        <w:rPr>
          <w:rFonts w:ascii="Calibri" w:hAnsi="Calibri" w:eastAsia="Calibri" w:cs="Calibri"/>
          <w:i/>
          <w:iCs/>
          <w:color w:val="000000"/>
          <w:sz w:val="22"/>
          <w:szCs w:val="22"/>
        </w:rPr>
        <w:t xml:space="preserve">Heliothis virescens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Helicoverpa zea</w:t>
      </w:r>
      <w:r>
        <w:rPr>
          <w:rFonts w:ascii="Calibri" w:hAnsi="Calibri" w:eastAsia="Calibri" w:cs="Calibri"/>
          <w:color w:val="000000"/>
          <w:sz w:val="22"/>
          <w:szCs w:val="22"/>
        </w:rPr>
        <w:t xml:space="preserve"> (Lepidoptera: Noctuidae).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(2), 178-181.</w:t>
      </w:r>
    </w:p>
    <w:p>
      <w:pPr>
        <w:widowControl w:val="on"/>
        <w:pBdr/>
        <w:spacing w:before="220" w:after="220" w:line="240" w:lineRule="auto"/>
        <w:ind w:left="0" w:right="0"/>
        <w:jc w:val="left"/>
      </w:pPr>
      <w:r>
        <w:rPr>
          <w:rFonts w:ascii="Calibri" w:hAnsi="Calibri" w:eastAsia="Calibri" w:cs="Calibri"/>
          <w:color w:val="000000"/>
          <w:sz w:val="22"/>
          <w:szCs w:val="22"/>
        </w:rPr>
        <w:t xml:space="preserve">Hardwick DF (1965) The corn earworm complex. </w:t>
      </w:r>
      <w:r>
        <w:rPr>
          <w:rFonts w:ascii="Calibri" w:hAnsi="Calibri" w:eastAsia="Calibri" w:cs="Calibri"/>
          <w:i/>
          <w:iCs/>
          <w:color w:val="000000"/>
          <w:sz w:val="22"/>
          <w:szCs w:val="22"/>
        </w:rPr>
        <w:t xml:space="preserve">Memoirs of the Entomological Society of Canada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1-247.</w:t>
      </w:r>
    </w:p>
    <w:p>
      <w:pPr>
        <w:widowControl w:val="on"/>
        <w:pBdr/>
        <w:spacing w:before="220" w:after="220" w:line="240" w:lineRule="auto"/>
        <w:ind w:left="0" w:right="0"/>
        <w:jc w:val="left"/>
      </w:pPr>
      <w:r>
        <w:rPr>
          <w:rFonts w:ascii="Calibri" w:hAnsi="Calibri" w:eastAsia="Calibri" w:cs="Calibri"/>
          <w:color w:val="000000"/>
          <w:sz w:val="22"/>
          <w:szCs w:val="22"/>
        </w:rPr>
        <w:t xml:space="preserve">Hardwick DF (1968) A brief review of the principles of light trap design with a description of an efficient trap for collecting noctuid moths. </w:t>
      </w:r>
      <w:r>
        <w:rPr>
          <w:rFonts w:ascii="Calibri" w:hAnsi="Calibri" w:eastAsia="Calibri" w:cs="Calibri"/>
          <w:i/>
          <w:iCs/>
          <w:color w:val="000000"/>
          <w:sz w:val="22"/>
          <w:szCs w:val="22"/>
        </w:rPr>
        <w:t xml:space="preserve">Journal of the Lepidopterists'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65-75.</w:t>
      </w:r>
    </w:p>
    <w:p>
      <w:pPr>
        <w:widowControl w:val="on"/>
        <w:pBdr/>
        <w:spacing w:before="220" w:after="220" w:line="240" w:lineRule="auto"/>
        <w:ind w:left="0" w:right="0"/>
        <w:jc w:val="left"/>
      </w:pPr>
      <w:r>
        <w:rPr>
          <w:rFonts w:ascii="Calibri" w:hAnsi="Calibri" w:eastAsia="Calibri" w:cs="Calibri"/>
          <w:color w:val="000000"/>
          <w:sz w:val="22"/>
          <w:szCs w:val="22"/>
        </w:rPr>
        <w:t xml:space="preserve">Hardwick DF (1970) A generic revision of the North American Heliothidinae (Lepidoptera: Noctuidae). </w:t>
      </w:r>
      <w:r>
        <w:rPr>
          <w:rFonts w:ascii="Calibri" w:hAnsi="Calibri" w:eastAsia="Calibri" w:cs="Calibri"/>
          <w:i/>
          <w:iCs/>
          <w:color w:val="000000"/>
          <w:sz w:val="22"/>
          <w:szCs w:val="22"/>
        </w:rPr>
        <w:t xml:space="preserve">Memoirs of the Entomological Society of Canada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1-59.</w:t>
      </w:r>
    </w:p>
    <w:p>
      <w:pPr>
        <w:widowControl w:val="on"/>
        <w:pBdr/>
        <w:spacing w:before="220" w:after="220" w:line="240" w:lineRule="auto"/>
        <w:ind w:left="0" w:right="0"/>
        <w:jc w:val="left"/>
      </w:pPr>
      <w:r>
        <w:rPr>
          <w:rFonts w:ascii="Calibri" w:hAnsi="Calibri" w:eastAsia="Calibri" w:cs="Calibri"/>
          <w:color w:val="000000"/>
          <w:sz w:val="22"/>
          <w:szCs w:val="22"/>
        </w:rPr>
        <w:t xml:space="preserve">King ABS, Saunders JL (1984) </w:t>
      </w:r>
      <w:r>
        <w:rPr>
          <w:rFonts w:ascii="Calibri" w:hAnsi="Calibri" w:eastAsia="Calibri" w:cs="Calibri"/>
          <w:i/>
          <w:iCs/>
          <w:color w:val="000000"/>
          <w:sz w:val="22"/>
          <w:szCs w:val="22"/>
        </w:rPr>
        <w:t xml:space="preserve">The invertebrate pests of annual food crops in Central America</w:t>
      </w:r>
      <w:r>
        <w:rPr>
          <w:rFonts w:ascii="Calibri" w:hAnsi="Calibri" w:eastAsia="Calibri" w:cs="Calibri"/>
          <w:color w:val="000000"/>
          <w:sz w:val="22"/>
          <w:szCs w:val="22"/>
        </w:rPr>
        <w:t xml:space="preserve">. Overseas Development Administration,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King FG, Coleman RJ (1989) Potential for biological control of </w:t>
      </w:r>
      <w:r>
        <w:rPr>
          <w:rFonts w:ascii="Calibri" w:hAnsi="Calibri" w:eastAsia="Calibri" w:cs="Calibri"/>
          <w:i/>
          <w:iCs/>
          <w:color w:val="000000"/>
          <w:sz w:val="22"/>
          <w:szCs w:val="22"/>
        </w:rPr>
        <w:t xml:space="preserve">Heliothis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53-75.</w:t>
      </w:r>
    </w:p>
    <w:p>
      <w:pPr>
        <w:widowControl w:val="on"/>
        <w:pBdr/>
        <w:spacing w:before="220" w:after="220" w:line="240" w:lineRule="auto"/>
        <w:ind w:left="0" w:right="0"/>
        <w:jc w:val="left"/>
      </w:pPr>
      <w:r>
        <w:rPr>
          <w:rFonts w:ascii="Calibri" w:hAnsi="Calibri" w:eastAsia="Calibri" w:cs="Calibri"/>
          <w:color w:val="000000"/>
          <w:sz w:val="22"/>
          <w:szCs w:val="22"/>
        </w:rPr>
        <w:t xml:space="preserve">Lingren PD, Westbrook JK, Bryant Jr VM, Raulston JR, Esquivel JF, Jones GD (1994) Origin of corn earworm (Lepidoptera: Noctuidae) migrants as determined by citrus pollen markers and synoptic weather systems.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(3), 562-570.</w:t>
      </w:r>
    </w:p>
    <w:p>
      <w:pPr>
        <w:widowControl w:val="on"/>
        <w:pBdr/>
        <w:spacing w:before="220" w:after="220" w:line="240" w:lineRule="auto"/>
        <w:ind w:left="0" w:right="0"/>
        <w:jc w:val="left"/>
      </w:pPr>
      <w:r>
        <w:rPr>
          <w:rFonts w:ascii="Calibri" w:hAnsi="Calibri" w:eastAsia="Calibri" w:cs="Calibri"/>
          <w:color w:val="000000"/>
          <w:sz w:val="22"/>
          <w:szCs w:val="22"/>
        </w:rPr>
        <w:t xml:space="preserve">Matthews M (1991) Classification of the Heliothinae. </w:t>
      </w:r>
      <w:r>
        <w:rPr>
          <w:rFonts w:ascii="Calibri" w:hAnsi="Calibri" w:eastAsia="Calibri" w:cs="Calibri"/>
          <w:i/>
          <w:iCs/>
          <w:color w:val="000000"/>
          <w:sz w:val="22"/>
          <w:szCs w:val="22"/>
        </w:rPr>
        <w:t xml:space="preserve">Bulletin of the Natural Resources Institute</w:t>
      </w:r>
      <w:r>
        <w:rPr>
          <w:rFonts w:ascii="Calibri" w:hAnsi="Calibri" w:eastAsia="Calibri" w:cs="Calibri"/>
          <w:color w:val="000000"/>
          <w:sz w:val="22"/>
          <w:szCs w:val="22"/>
        </w:rPr>
        <w:t xml:space="preserve"> No. 44. Natural Resources Institute, Chatham, UK.</w:t>
      </w:r>
    </w:p>
    <w:p>
      <w:pPr>
        <w:widowControl w:val="on"/>
        <w:pBdr/>
        <w:spacing w:before="220" w:after="220" w:line="240" w:lineRule="auto"/>
        <w:ind w:left="0" w:right="0"/>
        <w:jc w:val="left"/>
      </w:pPr>
      <w:r>
        <w:rPr>
          <w:rFonts w:ascii="Calibri" w:hAnsi="Calibri" w:eastAsia="Calibri" w:cs="Calibri"/>
          <w:color w:val="000000"/>
          <w:sz w:val="22"/>
          <w:szCs w:val="22"/>
        </w:rPr>
        <w:t xml:space="preserve">Mitchell A, Gopurenko D (2016) DNA Barcoding the Heliothinae (Lepidoptera: Noctuidae) of Australia and utility of DNA barcodes for pest identification in </w:t>
      </w:r>
      <w:r>
        <w:rPr>
          <w:rFonts w:ascii="Calibri" w:hAnsi="Calibri" w:eastAsia="Calibri" w:cs="Calibri"/>
          <w:i/>
          <w:iCs/>
          <w:color w:val="000000"/>
          <w:sz w:val="22"/>
          <w:szCs w:val="22"/>
        </w:rPr>
        <w:t xml:space="preserve">Helicoverpa </w:t>
      </w:r>
      <w:r>
        <w:rPr>
          <w:rFonts w:ascii="Calibri" w:hAnsi="Calibri" w:eastAsia="Calibri" w:cs="Calibri"/>
          <w:color w:val="000000"/>
          <w:sz w:val="22"/>
          <w:szCs w:val="22"/>
        </w:rPr>
        <w:t xml:space="preserve">and relatives.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e0160895. </w:t>
      </w:r>
      <w:hyperlink r:id="rId15876ad49b948782d" w:history="1">
        <w:r>
          <w:rPr>
            <w:rFonts w:ascii="Calibri" w:hAnsi="Calibri" w:eastAsia="Calibri" w:cs="Calibri"/>
            <w:color w:val="0000CC"/>
            <w:sz w:val="22"/>
            <w:szCs w:val="22"/>
            <w:u w:val="single"/>
          </w:rPr>
          <w:t xml:space="preserve">https://doi.org/10.1371/journal.pone.0160895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Mitchell ER, McLaughlin JR (1982) Suppression of mating and oviposition by fall armyworm and mating by corn earworm in corn, using the air permeation technique.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(2), 270-274.</w:t>
      </w:r>
    </w:p>
    <w:p>
      <w:pPr>
        <w:widowControl w:val="on"/>
        <w:pBdr/>
        <w:spacing w:before="220" w:after="220" w:line="240" w:lineRule="auto"/>
        <w:ind w:left="0" w:right="0"/>
        <w:jc w:val="left"/>
      </w:pPr>
      <w:r>
        <w:rPr>
          <w:rFonts w:ascii="Calibri" w:hAnsi="Calibri" w:eastAsia="Calibri" w:cs="Calibri"/>
          <w:color w:val="000000"/>
          <w:sz w:val="22"/>
          <w:szCs w:val="22"/>
        </w:rPr>
        <w:t xml:space="preserve">Nagoshi RN, Gilligan TM, Brambila J (2016) Combining </w:t>
      </w:r>
      <w:r>
        <w:rPr>
          <w:rFonts w:ascii="Calibri" w:hAnsi="Calibri" w:eastAsia="Calibri" w:cs="Calibri"/>
          <w:i/>
          <w:iCs/>
          <w:color w:val="000000"/>
          <w:sz w:val="22"/>
          <w:szCs w:val="22"/>
        </w:rPr>
        <w:t xml:space="preserve">Tpi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CO1</w:t>
      </w:r>
      <w:r>
        <w:rPr>
          <w:rFonts w:ascii="Calibri" w:hAnsi="Calibri" w:eastAsia="Calibri" w:cs="Calibri"/>
          <w:color w:val="000000"/>
          <w:sz w:val="22"/>
          <w:szCs w:val="22"/>
        </w:rPr>
        <w:t xml:space="preserve"> genetic markers to discriminate invasive </w:t>
      </w:r>
      <w:r>
        <w:rPr>
          <w:rFonts w:ascii="Calibri" w:hAnsi="Calibri" w:eastAsia="Calibri" w:cs="Calibri"/>
          <w:i/>
          <w:iCs/>
          <w:color w:val="000000"/>
          <w:sz w:val="22"/>
          <w:szCs w:val="22"/>
        </w:rPr>
        <w:t xml:space="preserve">Helicoverpa armigera </w:t>
      </w:r>
      <w:r>
        <w:rPr>
          <w:rFonts w:ascii="Calibri" w:hAnsi="Calibri" w:eastAsia="Calibri" w:cs="Calibri"/>
          <w:color w:val="000000"/>
          <w:sz w:val="22"/>
          <w:szCs w:val="22"/>
        </w:rPr>
        <w:t xml:space="preserve">from local </w:t>
      </w:r>
      <w:r>
        <w:rPr>
          <w:rFonts w:ascii="Calibri" w:hAnsi="Calibri" w:eastAsia="Calibri" w:cs="Calibri"/>
          <w:i/>
          <w:iCs/>
          <w:color w:val="000000"/>
          <w:sz w:val="22"/>
          <w:szCs w:val="22"/>
        </w:rPr>
        <w:t xml:space="preserve">Helicoverpa zea</w:t>
      </w:r>
      <w:r>
        <w:rPr>
          <w:rFonts w:ascii="Calibri" w:hAnsi="Calibri" w:eastAsia="Calibri" w:cs="Calibri"/>
          <w:color w:val="000000"/>
          <w:sz w:val="22"/>
          <w:szCs w:val="22"/>
        </w:rPr>
        <w:t xml:space="preserve"> (Lepidoptera: Noctuidae) populations in the Southeastern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(5), 2115-2124.</w:t>
      </w:r>
    </w:p>
    <w:p>
      <w:pPr>
        <w:widowControl w:val="on"/>
        <w:pBdr/>
        <w:spacing w:before="220" w:after="220" w:line="240" w:lineRule="auto"/>
        <w:ind w:left="0" w:right="0"/>
        <w:jc w:val="left"/>
      </w:pPr>
      <w:r>
        <w:rPr>
          <w:rFonts w:ascii="Calibri" w:hAnsi="Calibri" w:eastAsia="Calibri" w:cs="Calibri"/>
          <w:color w:val="000000"/>
          <w:sz w:val="22"/>
          <w:szCs w:val="22"/>
        </w:rPr>
        <w:t xml:space="preserve">Neunzig HH (1963) Wild host plants of the corn earworm and the tobacco budworm in eastern North Carolina.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(2), 135-139.</w:t>
      </w:r>
    </w:p>
    <w:p>
      <w:pPr>
        <w:widowControl w:val="on"/>
        <w:pBdr/>
        <w:spacing w:before="220" w:after="220" w:line="240" w:lineRule="auto"/>
        <w:ind w:left="0" w:right="0"/>
        <w:jc w:val="left"/>
      </w:pPr>
      <w:r>
        <w:rPr>
          <w:rFonts w:ascii="Calibri" w:hAnsi="Calibri" w:eastAsia="Calibri" w:cs="Calibri"/>
          <w:color w:val="000000"/>
          <w:sz w:val="22"/>
          <w:szCs w:val="22"/>
        </w:rPr>
        <w:t xml:space="preserve">Olivi BM, Gore J, Musser FM, Catchot AL, Cook DR (2019) Impact of simulated corn earworm (Lepidoptera: Noctuidae) kernel feeding on field corn yield.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(5), 2193-2198.</w:t>
      </w:r>
    </w:p>
    <w:p>
      <w:pPr>
        <w:widowControl w:val="on"/>
        <w:pBdr/>
        <w:spacing w:before="220" w:after="220" w:line="240" w:lineRule="auto"/>
        <w:ind w:left="0" w:right="0"/>
        <w:jc w:val="left"/>
      </w:pPr>
      <w:r>
        <w:rPr>
          <w:rFonts w:ascii="Calibri" w:hAnsi="Calibri" w:eastAsia="Calibri" w:cs="Calibri"/>
          <w:color w:val="000000"/>
          <w:sz w:val="22"/>
          <w:szCs w:val="22"/>
        </w:rPr>
        <w:t xml:space="preserve">Pitre HN (1985) Insect problems on sorghum in the USA. In: </w:t>
      </w:r>
      <w:r>
        <w:rPr>
          <w:rFonts w:ascii="Calibri" w:hAnsi="Calibri" w:eastAsia="Calibri" w:cs="Calibri"/>
          <w:i/>
          <w:iCs/>
          <w:color w:val="000000"/>
          <w:sz w:val="22"/>
          <w:szCs w:val="22"/>
        </w:rPr>
        <w:t xml:space="preserve">Proceedings of the International Sorghum Entomology Workshop, July l984, Texas A &amp; M University, USA</w:t>
      </w:r>
      <w:r>
        <w:rPr>
          <w:rFonts w:ascii="Calibri" w:hAnsi="Calibri" w:eastAsia="Calibri" w:cs="Calibri"/>
          <w:color w:val="000000"/>
          <w:sz w:val="22"/>
          <w:szCs w:val="22"/>
        </w:rPr>
        <w:t xml:space="preserve"> (Ed. by Kumble, V), pp. 73-81. ICRISAT, Patancheru, India.</w:t>
      </w:r>
    </w:p>
    <w:p>
      <w:pPr>
        <w:widowControl w:val="on"/>
        <w:pBdr/>
        <w:spacing w:before="220" w:after="220" w:line="240" w:lineRule="auto"/>
        <w:ind w:left="0" w:right="0"/>
        <w:jc w:val="left"/>
      </w:pPr>
      <w:r>
        <w:rPr>
          <w:rFonts w:ascii="Calibri" w:hAnsi="Calibri" w:eastAsia="Calibri" w:cs="Calibri"/>
          <w:color w:val="000000"/>
          <w:sz w:val="22"/>
          <w:szCs w:val="22"/>
        </w:rPr>
        <w:t xml:space="preserve">Reay-Jones FPF (2019) Pest status and management of corn earworm (Lepidoptera: Noctuidae) in field corn in the United States.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1-9. </w:t>
      </w:r>
      <w:hyperlink r:id="rId21706ad49b9487ac1" w:history="1">
        <w:r>
          <w:rPr>
            <w:rFonts w:ascii="Calibri" w:hAnsi="Calibri" w:eastAsia="Calibri" w:cs="Calibri"/>
            <w:color w:val="0000CC"/>
            <w:sz w:val="22"/>
            <w:szCs w:val="22"/>
            <w:u w:val="single"/>
          </w:rPr>
          <w:t xml:space="preserve">https://doi.org/10.1093/jipm/pmz017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Swenson SJ, Prischmann-Voldseth DA, Musser FR (2013) Corn earworms (Lepidoptera: Noctuidae) as pests of soybean.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(2), D1-8. </w:t>
      </w:r>
      <w:hyperlink r:id="rId85056ad49b9487b32" w:history="1">
        <w:r>
          <w:rPr>
            <w:rFonts w:ascii="Calibri" w:hAnsi="Calibri" w:eastAsia="Calibri" w:cs="Calibri"/>
            <w:color w:val="0000CC"/>
            <w:sz w:val="22"/>
            <w:szCs w:val="22"/>
            <w:u w:val="single"/>
          </w:rPr>
          <w:t xml:space="preserve">https://doi.org/10.1603/IPM13008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Sithanantham S, Singh SP, Romeis J (2005) Biological control of </w:t>
      </w:r>
      <w:r>
        <w:rPr>
          <w:rFonts w:ascii="Calibri" w:hAnsi="Calibri" w:eastAsia="Calibri" w:cs="Calibri"/>
          <w:i/>
          <w:iCs/>
          <w:color w:val="000000"/>
          <w:sz w:val="22"/>
          <w:szCs w:val="22"/>
        </w:rPr>
        <w:t xml:space="preserve">Helicoverpa</w:t>
      </w:r>
      <w:r>
        <w:rPr>
          <w:rFonts w:ascii="Calibri" w:hAnsi="Calibri" w:eastAsia="Calibri" w:cs="Calibri"/>
          <w:color w:val="000000"/>
          <w:sz w:val="22"/>
          <w:szCs w:val="22"/>
        </w:rPr>
        <w:t xml:space="preserve">: Research status, constraints and opportunities, pp. 329-369. In HC Sharma (Ed.), </w:t>
      </w:r>
      <w:r>
        <w:rPr>
          <w:rFonts w:ascii="Calibri" w:hAnsi="Calibri" w:eastAsia="Calibri" w:cs="Calibri"/>
          <w:i/>
          <w:iCs/>
          <w:color w:val="000000"/>
          <w:sz w:val="22"/>
          <w:szCs w:val="22"/>
        </w:rPr>
        <w:t xml:space="preserve">Heliothis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Helicoverpa</w:t>
      </w:r>
      <w:r>
        <w:rPr>
          <w:rFonts w:ascii="Calibri" w:hAnsi="Calibri" w:eastAsia="Calibri" w:cs="Calibri"/>
          <w:color w:val="000000"/>
          <w:sz w:val="22"/>
          <w:szCs w:val="22"/>
        </w:rPr>
        <w:t xml:space="preserve"> management – emerging trends and strategies for future research. Science Publishers, Plymouth, UK</w:t>
      </w:r>
    </w:p>
    <w:p>
      <w:pPr>
        <w:widowControl w:val="on"/>
        <w:pBdr/>
        <w:spacing w:before="220" w:after="220" w:line="240" w:lineRule="auto"/>
        <w:ind w:left="0" w:right="0"/>
        <w:jc w:val="left"/>
      </w:pPr>
      <w:r>
        <w:rPr>
          <w:rFonts w:ascii="Calibri" w:hAnsi="Calibri" w:eastAsia="Calibri" w:cs="Calibri"/>
          <w:color w:val="000000"/>
          <w:sz w:val="22"/>
          <w:szCs w:val="22"/>
        </w:rPr>
        <w:t xml:space="preserve">Swenson SJ, Prischmann-Voldseth DA, Musser FR (2013) Corn earworms (Lepidoptera: Noctuidae) as pests of soybean.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(2), 1-8. </w:t>
      </w:r>
      <w:hyperlink r:id="rId94246ad49b9487c37" w:history="1">
        <w:r>
          <w:rPr>
            <w:rFonts w:ascii="Calibri" w:hAnsi="Calibri" w:eastAsia="Calibri" w:cs="Calibri"/>
            <w:color w:val="0000CC"/>
            <w:sz w:val="22"/>
            <w:szCs w:val="22"/>
            <w:u w:val="single"/>
          </w:rPr>
          <w:t xml:space="preserve">https://doi.org/10.1603/IPM13008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Tabashnik BE, Carriere Y (2017) Surge in insect resistance to transgenic crops and prospects for sustainability. </w:t>
      </w:r>
      <w:r>
        <w:rPr>
          <w:rFonts w:ascii="Calibri" w:hAnsi="Calibri" w:eastAsia="Calibri" w:cs="Calibri"/>
          <w:i/>
          <w:iCs/>
          <w:color w:val="000000"/>
          <w:sz w:val="22"/>
          <w:szCs w:val="22"/>
        </w:rPr>
        <w:t xml:space="preserve">Nature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926-935.</w:t>
      </w:r>
    </w:p>
    <w:p>
      <w:pPr>
        <w:widowControl w:val="on"/>
        <w:pBdr/>
        <w:spacing w:before="220" w:after="220" w:line="240" w:lineRule="auto"/>
        <w:ind w:left="0" w:right="0"/>
        <w:jc w:val="left"/>
      </w:pPr>
      <w:r>
        <w:rPr>
          <w:rFonts w:ascii="Calibri" w:hAnsi="Calibri" w:eastAsia="Calibri" w:cs="Calibri"/>
          <w:color w:val="000000"/>
          <w:sz w:val="22"/>
          <w:szCs w:val="22"/>
        </w:rPr>
        <w:t xml:space="preserve">Westbrook JK, López Jr JD (2010) Long-distance migration in Helicoverpa zea: what we know and need to know.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355-360.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Francis Reay-Jones (Clemson University, USA).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Helicoverpa zea</w:t>
      </w:r>
      <w:r>
        <w:rPr>
          <w:rFonts w:ascii="Calibri" w:hAnsi="Calibri" w:eastAsia="Calibri" w:cs="Calibri"/>
          <w:color w:val="000000"/>
          <w:sz w:val="22"/>
          <w:szCs w:val="22"/>
        </w:rPr>
        <w:t xml:space="preserve">. EPPO datasheets on pests recommended for regulation. Available online. </w:t>
      </w:r>
      <w:hyperlink r:id="rId56456ad49b9487db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2583539" name="name85226ad49b9487ff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5516ad49b9487fe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373035">
    <w:multiLevelType w:val="hybridMultilevel"/>
    <w:lvl w:ilvl="0" w:tplc="54774889">
      <w:start w:val="1"/>
      <w:numFmt w:val="decimal"/>
      <w:lvlText w:val="%1."/>
      <w:lvlJc w:val="left"/>
      <w:pPr>
        <w:ind w:left="720" w:hanging="360"/>
      </w:pPr>
    </w:lvl>
    <w:lvl w:ilvl="1" w:tplc="54774889" w:tentative="1">
      <w:start w:val="1"/>
      <w:numFmt w:val="lowerLetter"/>
      <w:lvlText w:val="%2."/>
      <w:lvlJc w:val="left"/>
      <w:pPr>
        <w:ind w:left="1440" w:hanging="360"/>
      </w:pPr>
    </w:lvl>
    <w:lvl w:ilvl="2" w:tplc="54774889" w:tentative="1">
      <w:start w:val="1"/>
      <w:numFmt w:val="lowerRoman"/>
      <w:lvlText w:val="%3."/>
      <w:lvlJc w:val="right"/>
      <w:pPr>
        <w:ind w:left="2160" w:hanging="180"/>
      </w:pPr>
    </w:lvl>
    <w:lvl w:ilvl="3" w:tplc="54774889" w:tentative="1">
      <w:start w:val="1"/>
      <w:numFmt w:val="decimal"/>
      <w:lvlText w:val="%4."/>
      <w:lvlJc w:val="left"/>
      <w:pPr>
        <w:ind w:left="2880" w:hanging="360"/>
      </w:pPr>
    </w:lvl>
    <w:lvl w:ilvl="4" w:tplc="54774889" w:tentative="1">
      <w:start w:val="1"/>
      <w:numFmt w:val="lowerLetter"/>
      <w:lvlText w:val="%5."/>
      <w:lvlJc w:val="left"/>
      <w:pPr>
        <w:ind w:left="3600" w:hanging="360"/>
      </w:pPr>
    </w:lvl>
    <w:lvl w:ilvl="5" w:tplc="54774889" w:tentative="1">
      <w:start w:val="1"/>
      <w:numFmt w:val="lowerRoman"/>
      <w:lvlText w:val="%6."/>
      <w:lvlJc w:val="right"/>
      <w:pPr>
        <w:ind w:left="4320" w:hanging="180"/>
      </w:pPr>
    </w:lvl>
    <w:lvl w:ilvl="6" w:tplc="54774889" w:tentative="1">
      <w:start w:val="1"/>
      <w:numFmt w:val="decimal"/>
      <w:lvlText w:val="%7."/>
      <w:lvlJc w:val="left"/>
      <w:pPr>
        <w:ind w:left="5040" w:hanging="360"/>
      </w:pPr>
    </w:lvl>
    <w:lvl w:ilvl="7" w:tplc="54774889" w:tentative="1">
      <w:start w:val="1"/>
      <w:numFmt w:val="lowerLetter"/>
      <w:lvlText w:val="%8."/>
      <w:lvlJc w:val="left"/>
      <w:pPr>
        <w:ind w:left="5760" w:hanging="360"/>
      </w:pPr>
    </w:lvl>
    <w:lvl w:ilvl="8" w:tplc="54774889" w:tentative="1">
      <w:start w:val="1"/>
      <w:numFmt w:val="lowerRoman"/>
      <w:lvlText w:val="%9."/>
      <w:lvlJc w:val="right"/>
      <w:pPr>
        <w:ind w:left="6480" w:hanging="180"/>
      </w:pPr>
    </w:lvl>
  </w:abstractNum>
  <w:abstractNum w:abstractNumId="72373034">
    <w:multiLevelType w:val="hybridMultilevel"/>
    <w:lvl w:ilvl="0" w:tplc="52871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373034">
    <w:abstractNumId w:val="72373034"/>
  </w:num>
  <w:num w:numId="72373035">
    <w:abstractNumId w:val="7237303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01318445" Type="http://schemas.microsoft.com/office/2011/relationships/commentsExtended" Target="commentsExtended.xml"/><Relationship Id="rId532358250" Type="http://schemas.microsoft.com/office/2011/relationships/people" Target="people.xml"/><Relationship Id="rId96616ad49b9483cb5" Type="http://schemas.openxmlformats.org/officeDocument/2006/relationships/hyperlink" Target="https://gd.eppo.int/taxon/HELIZE/" TargetMode="External"/><Relationship Id="rId62586ad49b9483d3c" Type="http://schemas.openxmlformats.org/officeDocument/2006/relationships/hyperlink" Target="https://gd.eppo.int/taxon/HELIZE/categorization" TargetMode="External"/><Relationship Id="rId60436ad49b9484507" Type="http://schemas.openxmlformats.org/officeDocument/2006/relationships/hyperlink" Target="https://gd.eppo.int/taxon/HELIZE/photos" TargetMode="External"/><Relationship Id="rId15886ad49b9486f9b" Type="http://schemas.openxmlformats.org/officeDocument/2006/relationships/hyperlink" Target="https://doi.org/10.3390/insects13010091" TargetMode="External"/><Relationship Id="rId21526ad49b948724f" Type="http://schemas.openxmlformats.org/officeDocument/2006/relationships/hyperlink" Target="https://gd.eppo.int/standards/PM7/" TargetMode="External"/><Relationship Id="rId62966ad49b94872c1" Type="http://schemas.openxmlformats.org/officeDocument/2006/relationships/hyperlink" Target="https://gd.eppo.int/standards/PM7/" TargetMode="External"/><Relationship Id="rId40976ad49b94873e0" Type="http://schemas.openxmlformats.org/officeDocument/2006/relationships/hyperlink" Target="https://doi.org/10.1371/journal.pone.0142912" TargetMode="External"/><Relationship Id="rId15876ad49b948782d" Type="http://schemas.openxmlformats.org/officeDocument/2006/relationships/hyperlink" Target="https://doi.org/10.1371/journal.pone.0160895" TargetMode="External"/><Relationship Id="rId21706ad49b9487ac1" Type="http://schemas.openxmlformats.org/officeDocument/2006/relationships/hyperlink" Target="https://doi.org/10.1093/jipm/pmz017" TargetMode="External"/><Relationship Id="rId85056ad49b9487b32" Type="http://schemas.openxmlformats.org/officeDocument/2006/relationships/hyperlink" Target="https://doi.org/10.1603/IPM13008" TargetMode="External"/><Relationship Id="rId94246ad49b9487c37" Type="http://schemas.openxmlformats.org/officeDocument/2006/relationships/hyperlink" Target="https://doi.org/10.1603/IPM13008" TargetMode="External"/><Relationship Id="rId56456ad49b9487db4" Type="http://schemas.openxmlformats.org/officeDocument/2006/relationships/hyperlink" Target="https://gd.eppo.int" TargetMode="External"/><Relationship Id="rId77346ad49b94843cc" Type="http://schemas.openxmlformats.org/officeDocument/2006/relationships/image" Target="media/imgrId77346ad49b94843cc.jpg"/><Relationship Id="rId72146ad49b9485eac" Type="http://schemas.openxmlformats.org/officeDocument/2006/relationships/image" Target="media/imgrId72146ad49b9485eac.jpg"/><Relationship Id="rId75516ad49b9487fef" Type="http://schemas.openxmlformats.org/officeDocument/2006/relationships/image" Target="media/imgrId75516ad49b9487fe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