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Gymnocoronis spilanthoides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Gymnocoronis spilanthoides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 Don ex Hooker) de Candolle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Alomia spilanthoides</w:t>
            </w:r>
            <w:r>
              <w:rPr>
                <w:rFonts w:ascii="Calibri" w:hAnsi="Calibri" w:eastAsia="Calibri" w:cs="Calibri"/>
                <w:color w:val="000000"/>
                <w:position w:val="-3"/>
                <w:sz w:val="22"/>
                <w:szCs w:val="22"/>
              </w:rPr>
              <w:t xml:space="preserve"> D. Don ex Hooker &amp; Arnott, </w:t>
            </w:r>
            <w:r>
              <w:rPr>
                <w:rFonts w:ascii="Calibri" w:hAnsi="Calibri" w:eastAsia="Calibri" w:cs="Calibri"/>
                <w:i/>
                <w:iCs/>
                <w:color w:val="000000"/>
                <w:position w:val="-3"/>
                <w:sz w:val="22"/>
                <w:szCs w:val="22"/>
              </w:rPr>
              <w:t xml:space="preserve">Gymnocoronis attenuata</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Gymnocoronis spilanthoides var. attenuata</w:t>
            </w:r>
            <w:r>
              <w:rPr>
                <w:rFonts w:ascii="Calibri" w:hAnsi="Calibri" w:eastAsia="Calibri" w:cs="Calibri"/>
                <w:color w:val="000000"/>
                <w:position w:val="-3"/>
                <w:sz w:val="22"/>
                <w:szCs w:val="22"/>
              </w:rPr>
              <w:t xml:space="preserve"> (de Candolle) Baker, </w:t>
            </w:r>
            <w:r>
              <w:rPr>
                <w:rFonts w:ascii="Calibri" w:hAnsi="Calibri" w:eastAsia="Calibri" w:cs="Calibri"/>
                <w:i/>
                <w:iCs/>
                <w:color w:val="000000"/>
                <w:position w:val="-3"/>
                <w:sz w:val="22"/>
                <w:szCs w:val="22"/>
              </w:rPr>
              <w:t xml:space="preserve">Gymnocoronis subcordata</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Piqueria attenuata</w:t>
            </w:r>
            <w:r>
              <w:rPr>
                <w:rFonts w:ascii="Calibri" w:hAnsi="Calibri" w:eastAsia="Calibri" w:cs="Calibri"/>
                <w:color w:val="000000"/>
                <w:position w:val="-3"/>
                <w:sz w:val="22"/>
                <w:szCs w:val="22"/>
              </w:rPr>
              <w:t xml:space="preserve"> (de Candolle) Gardner, </w:t>
            </w:r>
            <w:r>
              <w:rPr>
                <w:rFonts w:ascii="Calibri" w:hAnsi="Calibri" w:eastAsia="Calibri" w:cs="Calibri"/>
                <w:i/>
                <w:iCs/>
                <w:color w:val="000000"/>
                <w:position w:val="-3"/>
                <w:sz w:val="22"/>
                <w:szCs w:val="22"/>
              </w:rPr>
              <w:t xml:space="preserve">Piqueria subcordata</w:t>
            </w:r>
            <w:r>
              <w:rPr>
                <w:rFonts w:ascii="Calibri" w:hAnsi="Calibri" w:eastAsia="Calibri" w:cs="Calibri"/>
                <w:color w:val="000000"/>
                <w:position w:val="-3"/>
                <w:sz w:val="22"/>
                <w:szCs w:val="22"/>
              </w:rPr>
              <w:t xml:space="preserve"> (de Candolle) Gardner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Senegal tea, giant green hygro, spade-leaf plant, temple plant, water snowball (US)</w:t>
            </w:r>
            <w:hyperlink r:id="rId946469bca5955ed7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425969bca5955edd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GYNSP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050399" name="name956669bca5955f48b" descr="5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36.jpg"/>
                          <pic:cNvPicPr/>
                        </pic:nvPicPr>
                        <pic:blipFill>
                          <a:blip r:embed="rId608569bca5955f489" cstate="print"/>
                          <a:stretch>
                            <a:fillRect/>
                          </a:stretch>
                        </pic:blipFill>
                        <pic:spPr>
                          <a:xfrm>
                            <a:off x="0" y="0"/>
                            <a:ext cx="2160000" cy="1281600"/>
                          </a:xfrm>
                          <a:prstGeom prst="rect">
                            <a:avLst/>
                          </a:prstGeom>
                          <a:ln w="0">
                            <a:noFill/>
                          </a:ln>
                        </pic:spPr>
                      </pic:pic>
                    </a:graphicData>
                  </a:graphic>
                </wp:inline>
              </w:drawing>
            </w:r>
            <w:hyperlink r:id="rId781369bca5955f5b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has a native range within South America (Brazil, Argentina, Paraguay, Uruguay, Bolivia and Peru), mostly centred around Uruguay and Paraguay (King &amp; Robinson, 1987) and is becoming an invasive alien species in several regions of the world. The species is problematic in Australia, New Zealand, Japan, China and Taiwan and has recently naturalized in Italy.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cultivated in the USA but is not reported as naturalized there (Weed Science Society of America (WSSA), 2012). Records of this species from Central American countries probably refer to another species, </w:t>
      </w:r>
      <w:r>
        <w:rPr>
          <w:rFonts w:ascii="Calibri" w:hAnsi="Calibri" w:eastAsia="Calibri" w:cs="Calibri"/>
          <w:i/>
          <w:iCs/>
          <w:color w:val="000000"/>
          <w:sz w:val="22"/>
          <w:szCs w:val="22"/>
        </w:rPr>
        <w:t xml:space="preserve">Gymnocoronis latifolia</w:t>
      </w:r>
      <w:r>
        <w:rPr>
          <w:rFonts w:ascii="Calibri" w:hAnsi="Calibri" w:eastAsia="Calibri" w:cs="Calibri"/>
          <w:color w:val="000000"/>
          <w:sz w:val="22"/>
          <w:szCs w:val="22"/>
        </w:rPr>
        <w:t xml:space="preserve"> (or up to four species depending on the taxonomy) (Turner, 1997).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reported from India (reputedly the source of introduction to Australia through the aquarium trade) by Parsons &amp; Cuthbertson (2001). There are relatively recent records of naturalization in Japan (in 1995), Taiwan (in 2001) and mainland China (in 2007) (Kodono, 2004;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Kodono (2004) reports this species as rapidly naturalizing, occurring from Kyushu to central Japan.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reported as casual in 1988 in Hungary, occurring in the thermal waters of Lake Héviz and ditches near Keszthely (Szabo, 2002; Lukacs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report two naturalized occurrences in north-western Italy (Lombardia region). The population in Italy stretches along the water body for 519 m, and occupies the whole canal width (1–4 m) (Ardenghi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the Netherlands,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was first identified in an urban waterway in Vleuten in 2019 (EPPO Reporting Service,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first reported as a naturalized species in Australia, reported from Taree in New South Wales (NSW) in 1980 (Parsons &amp; Cuthbertson, 2001). It has since spread in NSW and also naturalized in the states of Victoria and Queensland. It has been eradicated from an ornamental pond site in Perth and Margaret River in Western Australia, the only known sites in that state (Hussey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In New Zealand,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first recorded as naturalized on the Papakura Stream in South Auckland in 1990 (Timmins &amp; Mackenzie, 1995) and has since been found through much of lowland North Island and two South Island sites, the furthest south being in Canterbury (43.4°S).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34083225" name="name930069bca5956060e" descr="GYNS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NSP_distribution_map.jpg"/>
                    <pic:cNvPicPr/>
                  </pic:nvPicPr>
                  <pic:blipFill>
                    <a:blip r:embed="rId332869bca5956060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Hungary, Italy (mainland), Netherlands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(Guangxi, Yunnan, Zhejiang), India, Japan (Honshu, Kyushu),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Emergent amphibious aquatic perennial herb.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an emergent perennial herb, either forming upright bushes up to 1.5 m tall, tangled sprawling floating mats or occasionally fully submerged in shallow water. Plants reproduce by seed and vegetative fragmentation, with detached stems rooting at the nodes and thus forming new colonies. Stems are pale green (rarely reddish), either round or six- to eight-angled in cross section, erect or scrambling, up to 1.5 m long and 20 mm across, with hollow internodes, inflated and buoyant. Leaves lanceolate or ovate, opposite, 50–200 mm long 25–75 mm wide, serrate with wavy margins, veins pinnate. Submerged foliage usually entire but with wavy margins, petiolate, 10–70 mm long. Inflorescence glandular hairy, terminal, a cyme of capitula (flowerheads). Capitula discoid, with white (or pinkish) florets, 3.5–4 mm long, subtended by a single row of green involucral bracts, 15– 20 mm across, highly scented and very attractive to butterflies. Fruit is an achene, lacking a pappus, pale brown, slightly curved with prominent ribs, 1.2 mm long and 0.5 mm across (Parsons &amp; Cuthbertson, 2001; New Zealand Plant Conservation Network, 2013;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Seed set variable, with 6–19% of florets producing seed (Vivian-Smith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Adventitious roots commonly developing on the nodes.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Dense emergent beds of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sprawling over shallow margins of water bodies limit the growth of submerged and other emergent plant species. These beds prevent wind-induced mixing of the water column, causing reductions in dissolved oxygen that may result in anoxia with serious effects on fish and invertebrate species. The plant also increases evapotranspiration, resulting in water loss. These dense plant beds can impede water flow, promoting flooding and also obstructing navigation and recreation (Parsons &amp; Cuthbertson,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its introduced range,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grows in wetlands, particularly degraded waterways (CRC for Australian Weed Management, 2003) forming marginal clumps on the edge of slow-flowing or still water bodies, also forming dense sprawling floating mats in rivers (including tidally influenced areas) and reservoirs, irrigation channels, ponds, lakes, canals and ditches. It also grows in marshes and swamps, especially where nutrient enriched (CRC for Australian Weed Management, 2003).</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established but did not persist in a rice field in Italy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cooler parts of its introduced range,</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is a summer green, dying back to a perennial rootstock or to submerged plants, even under ice (New Zealand Plant Conservation Network, 2013, P Champion, Pers. Obs. (2016) National Institute of Water and Atmospheric Research Ltd). Burnett (2008) cultivated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in Hamilton, New Zealand (37.8°S) with water temperature fluctuations between 7 and 23°C. The author then manipulated temperatures either 2, 4 or 6°C above or below ambient temperatures (Burnett et al. 2007) in separate tanks all otherwise experiencing outdoor ambient conditions.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survived all treatments and all measured growth parameters (stem number, height, percentage cover, biomass) increased with increasing temperature. All treatments apart from +6°C died off to basal rootstocks during winter. The southernmost naturalized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population was the Waimakariri River margin in Canterbury, New Zealand (43.4°S). Ardenghi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reported Italian sites in the north-west (45.2°N) that experienced hot summers (monthly mean summer temperature approximately 30°C) and relatively cold winters (monthly mean January ≤-1°C). Seed set has been recorded at many New Zealand, Australian and Italian sites (Vivian-Smith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Panetta, 2010; New Zealand Plant Conservation Network, 2013;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with low numbers of seed set. However, germination rates were high over a range of fluctuating temperatures 5/15°C, 10/20–25/15°C or at 25°C (Vivian-Smith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Seed bank persistence was estimated at more than 16 years until viability was reduced below 1%, but would be much shorter if exposed to daylight (Panetta, 2010). Some field sites are situated on tidally influenced rivers, but tolerance to salinity is unknown.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has high growth rates under ideal conditions; a shoot growth of 150 mm per week was measured in New South Wales (Parsons &amp; Cuthbertson,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within the EPPO region. Due to early management intervention in Australia and New Zealand, which has restricted the invasive range of the species, biological control has not been researched (Australian Government,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is widely sold as an ornamental species within the EPPO region, including internet trade (Brunel, 2009; Ardenghi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species is also sold/exchanged between aquarists. The Ornamental Aquatic Trade Association (UK based) carried out a survey with its members in August 2016 requesting information on the number and value of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stock sold at in the calendar year for 2015. Thirty-three members responded to this survey and detailed that a total of 75 700</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plants were sold in the UK in 2015 with a value of GBP 112 955.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highly regarded as an ornamental pond plant as its flowers are very attractive to some butterflies, especially monarch butterflies in Australasia and the USA (Speichert &amp; Speichert, 2007), and Kodono (2004) reports the plant is cultivated by butterfly enthusiasts in Japan. Kodono (2004) also reports the plant being promoted in Japan for water purification.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considered the main pathway for entry into the EPPO region. From this pathway, individual plants can be transferred to suitable habitats through either intentional introductions into the environment or unintentionally through the disposal of aquarium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Consideration can be given to river systems within the EPPO region which are connected to countries outside the EPPO region. It is possible that the use of recreational equipment (e.g. fishing or canoeing gear) could spread the species, particularly as seeds or seedlings, although this is not likely to be significant pathway at present given the rarity of the plant within the EPPO region. However, there are campaigns within the European Union (EU) to raise awareness of the movement of invasive alien plants by this pathway. For example, the ‘Check, Clean and Dry’ campaign in Great Britain highlights the need to inspect and treat recreational material following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CRC for Australian Weed Management (2003) states that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threatens biodiversity and causes other environmental damage. Although only in the early stages of establishment, this weed has the potential to seriously degrade Australia’s ecosystems. Because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grows very quickly, it can rapidly cover water bodies with a floating mat, excluding other plants and the animals that rely on them. Water quality may decline if large amounts of the plant die off and rot under water.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has been recorded as colonizing a rice field in Italy (Ardenghi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this could have potential economic impacts relating to crop yields unless managed. The effects of flooding will potentially be made much worse because infestations block drainage channels – although financial figures for this are lacking. Recreational activities (e.g. by preventing access to the water body), irrigation and navigation may also be affected (Parsons &amp; Cuthbertson,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control has been successful in reducing small infestations of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either by hand removal, raking or drainage machinery (Parsons &amp; Cuthbertson, 2001). Plants may be disposed of by drying and burning (CRC for Australian Weed Management, 2003). Care is required not to leave plant fragments that can regenerate into new plants or be spread by water movements to new locations (van Oosterhout, 2010). Re-establishment from seed germination is likely once the plant becomes established in a wetland or aquatic site, requiring follow-up control for many years (Panetta, 2010). In Lake Biwa (Japan) a concerted hand removal programme has resulted in a decrease in abundance and area occupied by</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over 3 years, with eradication anticipated in the near future (Kaneko, 2012). </w:t>
      </w:r>
    </w:p>
    <w:p>
      <w:pPr>
        <w:widowControl w:val="on"/>
        <w:pBdr/>
        <w:spacing w:before="220" w:after="220" w:line="240" w:lineRule="auto"/>
        <w:ind w:left="0" w:right="0"/>
        <w:jc w:val="both"/>
      </w:pPr>
      <w:r>
        <w:rPr>
          <w:rFonts w:ascii="Calibri" w:hAnsi="Calibri" w:eastAsia="Calibri" w:cs="Calibri"/>
          <w:color w:val="000000"/>
          <w:sz w:val="22"/>
          <w:szCs w:val="22"/>
        </w:rPr>
        <w:t xml:space="preserve">Glyphosate has been found to give poor control of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(Sainty &amp; Jacobs, 2003), with this herbicide poorly translocating into below-ground or underwater parts and in many cases being adsorbed onto the silt coating plants (P. Champion, 2016, pers. obs.). The selective broad-leaf herbicide metsulfuron-methyl does provide good control and has been permitted for minor use on the species in aquatic situations in Australia (van Oosterhout, 2010; New South Wales Department of Primary Industries, 2014) and New Zealand where the majority of field sites of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have been eradicated using this herbicide (Champion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Champion &amp; Clayton, 2003). Products should be used following the instructions on the label and in line with the relevant plant protection product regulations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included on the EPPO ‘Alert List’ in 2009. It was removed from this list and transferred to the ‘Observation List’ in 2012.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also assessed under an alltaxa horizon scanning exercise designed to help prioritize risk assessments for the ‘most threatening new and emerging invasive alien species’ in Europe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scored 625 representing a high probability of arrival, establishment, spread and threat to biodiversity and associated ecosystem services across the EU within the next 10 years. In 2016,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had a high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designated as an invasive alien species according to the Invasive Alien Species Act of Japan (Muranaka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listed on the National Plant Pest Accord prohibiting it from sale and commercial propagation and distribution, and it is declared an unwanted organism under the Biosecurity Act 1993 (Hicks, 2001). It is subjected to eradication programmes by regional councils throughout its New Zealand range (Champion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It is listed as an Environmental Weed by Howell (2008).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on the Federal Alert List for Environmental Weeds, a list of 28 non-native plants that threaten biodiversity and cause other environmental damage. Although only in the early stages of establishment, these weeds have the potential to seriously degrade Australia’s ecosystems. It is subject to statutory management in most Australian states including New South Wales, Queensland, South Australia, Western Australia, Tasmania and Lord Howe Island (Parsons &amp; Cuthbertson, 2001). Csurhes &amp; Edwards (1998) evaluated this species as a potential environmental weed, with a low probability of achieving eradication.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is not on the Federal or any state Noxious Weed list (USDA National Resources Conservation Service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Ardenghi NMG, Barcheri G, Ballerini C, Cauzzi P &amp; Guzzon F (2016)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(Asteraceae, Eupatorieae), a new naturalized and potentially invasive aquatic alien in S Europe.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265–273. </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(2016) Weeds in Australia: </w:t>
      </w:r>
      <w:r>
        <w:rPr>
          <w:rFonts w:ascii="Calibri" w:hAnsi="Calibri" w:eastAsia="Calibri" w:cs="Calibri"/>
          <w:i/>
          <w:iCs/>
          <w:color w:val="000000"/>
          <w:sz w:val="22"/>
          <w:szCs w:val="22"/>
        </w:rPr>
        <w:t xml:space="preserve">Gymnocoronis spilanthoides. </w:t>
      </w:r>
      <w:hyperlink r:id="rId191369bca59561386" w:history="1">
        <w:r>
          <w:rPr>
            <w:rFonts w:ascii="Calibri" w:hAnsi="Calibri" w:eastAsia="Calibri" w:cs="Calibri"/>
            <w:color w:val="0000CC"/>
            <w:sz w:val="22"/>
            <w:szCs w:val="22"/>
            <w:u w:val="single"/>
          </w:rPr>
          <w:t xml:space="preserve">http://www.environment.gov.au/cgi-bin/biodiversity/invasive/weeds/weeddetails.pl?taxon_id=12850</w:t>
        </w:r>
      </w:hyperlink>
      <w:r>
        <w:rPr>
          <w:rFonts w:ascii="Calibri" w:hAnsi="Calibri" w:eastAsia="Calibri" w:cs="Calibri"/>
          <w:color w:val="000000"/>
          <w:sz w:val="22"/>
          <w:szCs w:val="22"/>
        </w:rPr>
        <w:t xml:space="preserve"> [accessed on 9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Burnett DA (2008) Assessment of potentially invasive aquatic plants under modified temperature regimes. Auckland University, Unpublished PhD thesis. 224 pp. </w:t>
      </w:r>
    </w:p>
    <w:p>
      <w:pPr>
        <w:widowControl w:val="on"/>
        <w:pBdr/>
        <w:spacing w:before="220" w:after="220" w:line="240" w:lineRule="auto"/>
        <w:ind w:left="0" w:right="0"/>
        <w:jc w:val="left"/>
      </w:pPr>
      <w:r>
        <w:rPr>
          <w:rFonts w:ascii="Calibri" w:hAnsi="Calibri" w:eastAsia="Calibri" w:cs="Calibri"/>
          <w:color w:val="000000"/>
          <w:sz w:val="22"/>
          <w:szCs w:val="22"/>
        </w:rPr>
        <w:t xml:space="preserve">Burnett DA, Champion PD, Clayton JS &amp; Ogden J (2007) A system for investigation of the temperature responses of emergent aquatic plants.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(2009) Pathway analysis: aquatic plants imported in 10 EPPO countries.</w:t>
      </w:r>
      <w:r>
        <w:rPr>
          <w:rFonts w:ascii="Calibri" w:hAnsi="Calibri" w:eastAsia="Calibri" w:cs="Calibri"/>
          <w:i/>
          <w:iCs/>
          <w:color w:val="000000"/>
          <w:sz w:val="22"/>
          <w:szCs w:val="22"/>
        </w:rPr>
        <w:t xml:space="preserve"> European and Mediterranean Plant Protection Organization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201–213.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&amp; Clayton JS (2003) The evaluation and management of aquatic weeds in New Zealand. In </w:t>
      </w:r>
      <w:r>
        <w:rPr>
          <w:rFonts w:ascii="Calibri" w:hAnsi="Calibri" w:eastAsia="Calibri" w:cs="Calibri"/>
          <w:i/>
          <w:iCs/>
          <w:color w:val="000000"/>
          <w:sz w:val="22"/>
          <w:szCs w:val="22"/>
        </w:rPr>
        <w:t xml:space="preserve">Plant Invasions: Ecological Threats and Management Solutions</w:t>
      </w:r>
      <w:r>
        <w:rPr>
          <w:rFonts w:ascii="Calibri" w:hAnsi="Calibri" w:eastAsia="Calibri" w:cs="Calibri"/>
          <w:color w:val="000000"/>
          <w:sz w:val="22"/>
          <w:szCs w:val="22"/>
        </w:rPr>
        <w:t xml:space="preserve"> (Eds Child L, Brock JH, Brundu G, Prach K, Pysek P, Wade PM &amp; Williamson M), pp. 429–434. Backhuys Publishing, Leiden (NL).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Rowe D &amp; Clayton JS (2002) </w:t>
      </w:r>
      <w:r>
        <w:rPr>
          <w:rFonts w:ascii="Calibri" w:hAnsi="Calibri" w:eastAsia="Calibri" w:cs="Calibri"/>
          <w:i/>
          <w:iCs/>
          <w:color w:val="000000"/>
          <w:sz w:val="22"/>
          <w:szCs w:val="22"/>
        </w:rPr>
        <w:t xml:space="preserve">Lake Manager Handbook: Alien Invaders. </w:t>
      </w:r>
      <w:hyperlink r:id="rId717169bca595615cf" w:history="1">
        <w:r>
          <w:rPr>
            <w:rFonts w:ascii="Calibri" w:hAnsi="Calibri" w:eastAsia="Calibri" w:cs="Calibri"/>
            <w:color w:val="0000CC"/>
            <w:sz w:val="22"/>
            <w:szCs w:val="22"/>
            <w:u w:val="single"/>
          </w:rPr>
          <w:t xml:space="preserve">https://www.mfe.govt.nz/sites/default/file s/lm-alien-invaders-jun02.pdf</w:t>
        </w:r>
      </w:hyperlink>
      <w:r>
        <w:rPr>
          <w:rFonts w:ascii="Calibri" w:hAnsi="Calibri" w:eastAsia="Calibri" w:cs="Calibri"/>
          <w:color w:val="000000"/>
          <w:sz w:val="22"/>
          <w:szCs w:val="22"/>
        </w:rPr>
        <w:t xml:space="preserve"> [accessed on 8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de Winton MD &amp; Clayton JS (2014) A risk assessment based proactive management strategy for aquatic weeds in New Zealand. </w:t>
      </w:r>
      <w:r>
        <w:rPr>
          <w:rFonts w:ascii="Calibri" w:hAnsi="Calibri" w:eastAsia="Calibri" w:cs="Calibri"/>
          <w:i/>
          <w:iCs/>
          <w:color w:val="000000"/>
          <w:sz w:val="22"/>
          <w:szCs w:val="22"/>
        </w:rPr>
        <w:t xml:space="preserve">Management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233–240. </w:t>
      </w:r>
    </w:p>
    <w:p>
      <w:pPr>
        <w:widowControl w:val="on"/>
        <w:pBdr/>
        <w:spacing w:before="220" w:after="220" w:line="240" w:lineRule="auto"/>
        <w:ind w:left="0" w:right="0"/>
        <w:jc w:val="left"/>
      </w:pPr>
      <w:r>
        <w:rPr>
          <w:rFonts w:ascii="Calibri" w:hAnsi="Calibri" w:eastAsia="Calibri" w:cs="Calibri"/>
          <w:color w:val="000000"/>
          <w:sz w:val="22"/>
          <w:szCs w:val="22"/>
        </w:rPr>
        <w:t xml:space="preserve">CRC for Australian Weed Management (2003) Senegal tea plant –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weed management guide. </w:t>
      </w:r>
      <w:hyperlink r:id="rId251669bca59561690" w:history="1">
        <w:r>
          <w:rPr>
            <w:rFonts w:ascii="Calibri" w:hAnsi="Calibri" w:eastAsia="Calibri" w:cs="Calibri"/>
            <w:color w:val="0000CC"/>
            <w:sz w:val="22"/>
            <w:szCs w:val="22"/>
            <w:u w:val="single"/>
          </w:rPr>
          <w:t xml:space="preserve">http://www.environment.gov.au/biodiversity/invasive/weeds/publications/guidelines/alert/pubs/g-spilanthoides.pdf</w:t>
        </w:r>
      </w:hyperlink>
      <w:r>
        <w:rPr>
          <w:rFonts w:ascii="Calibri" w:hAnsi="Calibri" w:eastAsia="Calibri" w:cs="Calibri"/>
          <w:color w:val="000000"/>
          <w:sz w:val="22"/>
          <w:szCs w:val="22"/>
        </w:rPr>
        <w:t xml:space="preserve">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Csurhes S &amp; Edwards R (1998) National weeds program: potential environmental weeds in Australia. Candidate species for preventative control. </w:t>
      </w:r>
      <w:hyperlink r:id="rId107469bca595616d2" w:history="1">
        <w:r>
          <w:rPr>
            <w:rFonts w:ascii="Calibri" w:hAnsi="Calibri" w:eastAsia="Calibri" w:cs="Calibri"/>
            <w:color w:val="0000CC"/>
            <w:sz w:val="22"/>
            <w:szCs w:val="22"/>
            <w:u w:val="single"/>
          </w:rPr>
          <w:t xml:space="preserve">http://www.environment.gov.au/biodiversity/invasive/weeds/publications/books/pubs/potential.pdf</w:t>
        </w:r>
      </w:hyperlink>
      <w:r>
        <w:rPr>
          <w:rFonts w:ascii="Calibri" w:hAnsi="Calibri" w:eastAsia="Calibri" w:cs="Calibri"/>
          <w:color w:val="000000"/>
          <w:sz w:val="22"/>
          <w:szCs w:val="22"/>
        </w:rPr>
        <w:t xml:space="preserve"> [accessed on 5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Reporting Service 2020/059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Pest Risk Analysis Gymnocoronis spilanthoides</w:t>
      </w:r>
      <w:r>
        <w:rPr>
          <w:rFonts w:ascii="Calibri" w:hAnsi="Calibri" w:eastAsia="Calibri" w:cs="Calibri"/>
          <w:color w:val="000000"/>
          <w:sz w:val="22"/>
          <w:szCs w:val="22"/>
        </w:rPr>
        <w:t xml:space="preserve">. EPPO, Paris (FR). </w:t>
      </w:r>
      <w:hyperlink r:id="rId843769bca5956174f"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11th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G (2001) Department of conservation unwanted organism declaration: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31 July 2001. </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Publication, Department of Conservation. </w:t>
      </w:r>
      <w:hyperlink r:id="rId812869bca595617ed" w:history="1">
        <w:r>
          <w:rPr>
            <w:rFonts w:ascii="Calibri" w:hAnsi="Calibri" w:eastAsia="Calibri" w:cs="Calibri"/>
            <w:color w:val="0000CC"/>
            <w:sz w:val="22"/>
            <w:szCs w:val="22"/>
            <w:u w:val="single"/>
          </w:rPr>
          <w:t xml:space="preserve">http://www.doc.govt.nz/documents/science-and-technical/drds292.pdf</w:t>
        </w:r>
      </w:hyperlink>
      <w:r>
        <w:rPr>
          <w:rFonts w:ascii="Calibri" w:hAnsi="Calibri" w:eastAsia="Calibri" w:cs="Calibri"/>
          <w:color w:val="000000"/>
          <w:sz w:val="22"/>
          <w:szCs w:val="22"/>
        </w:rPr>
        <w:t xml:space="preserve"> [accessed on 8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Hussey BMJ, Keighery GJ, Dodd J, Lloyd SG &amp; Cousens RD (2007) </w:t>
      </w:r>
      <w:r>
        <w:rPr>
          <w:rFonts w:ascii="Calibri" w:hAnsi="Calibri" w:eastAsia="Calibri" w:cs="Calibri"/>
          <w:i/>
          <w:iCs/>
          <w:color w:val="000000"/>
          <w:sz w:val="22"/>
          <w:szCs w:val="22"/>
        </w:rPr>
        <w:t xml:space="preserve">Western Weeds, A Guide to the Weeds of Western Australia</w:t>
      </w:r>
      <w:r>
        <w:rPr>
          <w:rFonts w:ascii="Calibri" w:hAnsi="Calibri" w:eastAsia="Calibri" w:cs="Calibri"/>
          <w:color w:val="000000"/>
          <w:sz w:val="22"/>
          <w:szCs w:val="22"/>
        </w:rPr>
        <w:t xml:space="preserve">, 2nd edn. The Weeds Society of Western Australia (Inc.). </w:t>
      </w:r>
    </w:p>
    <w:p>
      <w:pPr>
        <w:widowControl w:val="on"/>
        <w:pBdr/>
        <w:spacing w:before="220" w:after="220" w:line="240" w:lineRule="auto"/>
        <w:ind w:left="0" w:right="0"/>
        <w:jc w:val="left"/>
      </w:pPr>
      <w:r>
        <w:rPr>
          <w:rFonts w:ascii="Calibri" w:hAnsi="Calibri" w:eastAsia="Calibri" w:cs="Calibri"/>
          <w:color w:val="000000"/>
          <w:sz w:val="22"/>
          <w:szCs w:val="22"/>
        </w:rPr>
        <w:t xml:space="preserve">Kaneko Y (2012) Invasive alien plant species in the shore areas surrounding Lake Biwa. In </w:t>
      </w:r>
      <w:r>
        <w:rPr>
          <w:rFonts w:ascii="Calibri" w:hAnsi="Calibri" w:eastAsia="Calibri" w:cs="Calibri"/>
          <w:i/>
          <w:iCs/>
          <w:color w:val="000000"/>
          <w:sz w:val="22"/>
          <w:szCs w:val="22"/>
        </w:rPr>
        <w:t xml:space="preserve">Lake Biwa: Interactions Between Nature and People </w:t>
      </w:r>
      <w:r>
        <w:rPr>
          <w:rFonts w:ascii="Calibri" w:hAnsi="Calibri" w:eastAsia="Calibri" w:cs="Calibri"/>
          <w:color w:val="000000"/>
          <w:sz w:val="22"/>
          <w:szCs w:val="22"/>
        </w:rPr>
        <w:t xml:space="preserve">(Eds Kawanabe H, Nishino M &amp; Maehata M), pp. 485– 490. Springer, Dordrecht (NL), Heidelberg (DE), New York, NY (US),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King RM &amp; Robinson HE (1987) The Genera of Eupatorieae </w:t>
      </w:r>
      <w:r>
        <w:rPr>
          <w:rFonts w:ascii="Calibri" w:hAnsi="Calibri" w:eastAsia="Calibri" w:cs="Calibri"/>
          <w:i/>
          <w:iCs/>
          <w:color w:val="000000"/>
          <w:sz w:val="22"/>
          <w:szCs w:val="22"/>
        </w:rPr>
        <w:t xml:space="preserve">Missouri Botanical Garden Monographs in Systematic Botany</w:t>
      </w:r>
      <w:r>
        <w:rPr>
          <w:rFonts w:ascii="Calibri" w:hAnsi="Calibri" w:eastAsia="Calibri" w:cs="Calibri"/>
          <w:color w:val="000000"/>
          <w:sz w:val="22"/>
          <w:szCs w:val="22"/>
        </w:rPr>
        <w:t xml:space="preserve"> 22, 1–581. Missouri Botanical Garden/Allen Press, Lawrence, KS (US).</w:t>
      </w:r>
    </w:p>
    <w:p>
      <w:pPr>
        <w:widowControl w:val="on"/>
        <w:pBdr/>
        <w:spacing w:before="220" w:after="220" w:line="240" w:lineRule="auto"/>
        <w:ind w:left="0" w:right="0"/>
        <w:jc w:val="left"/>
      </w:pPr>
      <w:r>
        <w:rPr>
          <w:rFonts w:ascii="Calibri" w:hAnsi="Calibri" w:eastAsia="Calibri" w:cs="Calibri"/>
          <w:color w:val="000000"/>
          <w:sz w:val="22"/>
          <w:szCs w:val="22"/>
        </w:rPr>
        <w:t xml:space="preserve">Kodono Y (2004) Alien aquatic plants naturalized in Japan: history and present status. </w:t>
      </w:r>
      <w:r>
        <w:rPr>
          <w:rFonts w:ascii="Calibri" w:hAnsi="Calibri" w:eastAsia="Calibri" w:cs="Calibri"/>
          <w:i/>
          <w:iCs/>
          <w:color w:val="000000"/>
          <w:sz w:val="22"/>
          <w:szCs w:val="22"/>
        </w:rPr>
        <w:t xml:space="preserve">Global Environmental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163–169. </w:t>
      </w:r>
    </w:p>
    <w:p>
      <w:pPr>
        <w:widowControl w:val="on"/>
        <w:pBdr/>
        <w:spacing w:before="220" w:after="220" w:line="240" w:lineRule="auto"/>
        <w:ind w:left="0" w:right="0"/>
        <w:jc w:val="left"/>
      </w:pPr>
      <w:r>
        <w:rPr>
          <w:rFonts w:ascii="Calibri" w:hAnsi="Calibri" w:eastAsia="Calibri" w:cs="Calibri"/>
          <w:color w:val="000000"/>
          <w:sz w:val="22"/>
          <w:szCs w:val="22"/>
        </w:rPr>
        <w:t xml:space="preserve">Lukacs BA, Mesterhazy A, Vidéki R &amp; Kiraly G (2016) Alien aquatic vascular plants in Hungary (</w:t>
      </w:r>
      <w:r>
        <w:rPr>
          <w:rFonts w:ascii="Calibri" w:hAnsi="Calibri" w:eastAsia="Calibri" w:cs="Calibri"/>
          <w:i/>
          <w:iCs/>
          <w:color w:val="000000"/>
          <w:sz w:val="22"/>
          <w:szCs w:val="22"/>
        </w:rPr>
        <w:t xml:space="preserve">Pannonian ecoregion</w:t>
      </w:r>
      <w:r>
        <w:rPr>
          <w:rFonts w:ascii="Calibri" w:hAnsi="Calibri" w:eastAsia="Calibri" w:cs="Calibri"/>
          <w:color w:val="000000"/>
          <w:sz w:val="22"/>
          <w:szCs w:val="22"/>
        </w:rPr>
        <w:t xml:space="preserve">): historical aspects, data set and trends.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388–395. </w:t>
      </w:r>
    </w:p>
    <w:p>
      <w:pPr>
        <w:widowControl w:val="on"/>
        <w:pBdr/>
        <w:spacing w:before="220" w:after="220" w:line="240" w:lineRule="auto"/>
        <w:ind w:left="0" w:right="0"/>
        <w:jc w:val="left"/>
      </w:pPr>
      <w:r>
        <w:rPr>
          <w:rFonts w:ascii="Calibri" w:hAnsi="Calibri" w:eastAsia="Calibri" w:cs="Calibri"/>
          <w:color w:val="000000"/>
          <w:sz w:val="22"/>
          <w:szCs w:val="22"/>
        </w:rPr>
        <w:t xml:space="preserve">Muranaka T, Ishii J, Miyawaki S &amp; Washitani I (2005) Vascular plants to be designated Invasive Alien Species according to the Invasive Alien Species Act of Japan. </w:t>
      </w:r>
      <w:r>
        <w:rPr>
          <w:rFonts w:ascii="Calibri" w:hAnsi="Calibri" w:eastAsia="Calibri" w:cs="Calibri"/>
          <w:i/>
          <w:iCs/>
          <w:color w:val="000000"/>
          <w:sz w:val="22"/>
          <w:szCs w:val="22"/>
        </w:rPr>
        <w:t xml:space="preserve">Japanese Journal of Conservation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19–33 (in Japanese). </w:t>
      </w:r>
    </w:p>
    <w:p>
      <w:pPr>
        <w:widowControl w:val="on"/>
        <w:pBdr/>
        <w:spacing w:before="220" w:after="220" w:line="240" w:lineRule="auto"/>
        <w:ind w:left="0" w:right="0"/>
        <w:jc w:val="left"/>
      </w:pPr>
      <w:r>
        <w:rPr>
          <w:rFonts w:ascii="Calibri" w:hAnsi="Calibri" w:eastAsia="Calibri" w:cs="Calibri"/>
          <w:color w:val="000000"/>
          <w:sz w:val="22"/>
          <w:szCs w:val="22"/>
        </w:rPr>
        <w:t xml:space="preserve">New South Wales Department of Primary Industries (2014) Senegal tea plant (Gymnocoronis spilanthoides) http://weeds.dpi.nsw.gov.au/ Weeds/Details/169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(2013) Gymnocoronis spilanthoides factsheet. </w:t>
      </w:r>
      <w:hyperlink r:id="rId302369bca59561a62" w:history="1">
        <w:r>
          <w:rPr>
            <w:rFonts w:ascii="Calibri" w:hAnsi="Calibri" w:eastAsia="Calibri" w:cs="Calibri"/>
            <w:color w:val="0000CC"/>
            <w:sz w:val="22"/>
            <w:szCs w:val="22"/>
            <w:u w:val="single"/>
          </w:rPr>
          <w:t xml:space="preserve">http://nzpcn.org.nz/flora_details.asp?ID=4031</w:t>
        </w:r>
      </w:hyperlink>
      <w:r>
        <w:rPr>
          <w:rFonts w:ascii="Calibri" w:hAnsi="Calibri" w:eastAsia="Calibri" w:cs="Calibri"/>
          <w:color w:val="000000"/>
          <w:sz w:val="22"/>
          <w:szCs w:val="22"/>
        </w:rPr>
        <w:t xml:space="preserve">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Van Oosterhout E (2010) Senegal tea. Primefact 993. Industry &amp; Investment NSW.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(2010) Seed persistence of the invasive aquatic plant,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670–674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698 pp. CSIRO Publishing, Collingwood, Vic. (AU). </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Invasive Alien Species – Prioritising prevention efforts through horizon scanning ENV.B.2/ETU/2014/0016. European Commission. </w:t>
      </w:r>
    </w:p>
    <w:p>
      <w:pPr>
        <w:widowControl w:val="on"/>
        <w:pBdr/>
        <w:spacing w:before="220" w:after="220" w:line="240" w:lineRule="auto"/>
        <w:ind w:left="0" w:right="0"/>
        <w:jc w:val="left"/>
      </w:pPr>
      <w:r>
        <w:rPr>
          <w:rFonts w:ascii="Calibri" w:hAnsi="Calibri" w:eastAsia="Calibri" w:cs="Calibri"/>
          <w:color w:val="000000"/>
          <w:sz w:val="22"/>
          <w:szCs w:val="22"/>
        </w:rPr>
        <w:t xml:space="preserve">Sainty GR &amp; Jacobs SWL (2003) </w:t>
      </w:r>
      <w:r>
        <w:rPr>
          <w:rFonts w:ascii="Calibri" w:hAnsi="Calibri" w:eastAsia="Calibri" w:cs="Calibri"/>
          <w:i/>
          <w:iCs/>
          <w:color w:val="000000"/>
          <w:sz w:val="22"/>
          <w:szCs w:val="22"/>
        </w:rPr>
        <w:t xml:space="preserve">Waterplants in Australia</w:t>
      </w:r>
      <w:r>
        <w:rPr>
          <w:rFonts w:ascii="Calibri" w:hAnsi="Calibri" w:eastAsia="Calibri" w:cs="Calibri"/>
          <w:color w:val="000000"/>
          <w:sz w:val="22"/>
          <w:szCs w:val="22"/>
        </w:rPr>
        <w:t xml:space="preserve">, 4th edn, 416 pp. Sainty &amp; Associates Pty Ltd, Potts Point, NSW (AU). </w:t>
      </w:r>
    </w:p>
    <w:p>
      <w:pPr>
        <w:widowControl w:val="on"/>
        <w:pBdr/>
        <w:spacing w:before="220" w:after="220" w:line="240" w:lineRule="auto"/>
        <w:ind w:left="0" w:right="0"/>
        <w:jc w:val="left"/>
      </w:pPr>
      <w:r>
        <w:rPr>
          <w:rFonts w:ascii="Calibri" w:hAnsi="Calibri" w:eastAsia="Calibri" w:cs="Calibri"/>
          <w:color w:val="000000"/>
          <w:sz w:val="22"/>
          <w:szCs w:val="22"/>
        </w:rPr>
        <w:t xml:space="preserve">Speichert G &amp; Speichert S (2007) </w:t>
      </w:r>
      <w:r>
        <w:rPr>
          <w:rFonts w:ascii="Calibri" w:hAnsi="Calibri" w:eastAsia="Calibri" w:cs="Calibri"/>
          <w:i/>
          <w:iCs/>
          <w:color w:val="000000"/>
          <w:sz w:val="22"/>
          <w:szCs w:val="22"/>
        </w:rPr>
        <w:t xml:space="preserve">Encyclopedia of Water Garden Plants</w:t>
      </w:r>
      <w:r>
        <w:rPr>
          <w:rFonts w:ascii="Calibri" w:hAnsi="Calibri" w:eastAsia="Calibri" w:cs="Calibri"/>
          <w:color w:val="000000"/>
          <w:sz w:val="22"/>
          <w:szCs w:val="22"/>
        </w:rPr>
        <w:t xml:space="preserve">, 386 pp. Timber Press, Portland, Cambridge, USA. </w:t>
      </w:r>
    </w:p>
    <w:p>
      <w:pPr>
        <w:widowControl w:val="on"/>
        <w:pBdr/>
        <w:spacing w:before="220" w:after="220" w:line="240" w:lineRule="auto"/>
        <w:ind w:left="0" w:right="0"/>
        <w:jc w:val="left"/>
      </w:pPr>
      <w:r>
        <w:rPr>
          <w:rFonts w:ascii="Calibri" w:hAnsi="Calibri" w:eastAsia="Calibri" w:cs="Calibri"/>
          <w:color w:val="000000"/>
          <w:sz w:val="22"/>
          <w:szCs w:val="22"/>
        </w:rPr>
        <w:t xml:space="preserve">Szabo I (2002) Thermal neophytes of Héviz lake and ditches near Keszthely. </w:t>
      </w:r>
      <w:r>
        <w:rPr>
          <w:rFonts w:ascii="Calibri" w:hAnsi="Calibri" w:eastAsia="Calibri" w:cs="Calibri"/>
          <w:i/>
          <w:iCs/>
          <w:color w:val="000000"/>
          <w:sz w:val="22"/>
          <w:szCs w:val="22"/>
        </w:rPr>
        <w:t xml:space="preserve">Botanikai Kozlemények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105–115 (in Hungarian).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Timmins SM &amp; Mackenzie IW (1995)</w:t>
      </w:r>
      <w:r>
        <w:rPr>
          <w:rFonts w:ascii="Calibri" w:hAnsi="Calibri" w:eastAsia="Calibri" w:cs="Calibri"/>
          <w:i/>
          <w:iCs/>
          <w:color w:val="000000"/>
          <w:sz w:val="22"/>
          <w:szCs w:val="22"/>
        </w:rPr>
        <w:t xml:space="preserve"> Weeds in New Zealand Protected Natural Areas</w:t>
      </w:r>
      <w:r>
        <w:rPr>
          <w:rFonts w:ascii="Calibri" w:hAnsi="Calibri" w:eastAsia="Calibri" w:cs="Calibri"/>
          <w:color w:val="000000"/>
          <w:sz w:val="22"/>
          <w:szCs w:val="22"/>
        </w:rPr>
        <w:t xml:space="preserve">, pp. 103–105. Department of Conservation, Wellington (NZ). </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BL (1997) The comps of Mexico: a systematic account of the family Asteraceae, Volume 1: Eupatorieae. </w:t>
      </w:r>
      <w:r>
        <w:rPr>
          <w:rFonts w:ascii="Calibri" w:hAnsi="Calibri" w:eastAsia="Calibri" w:cs="Calibri"/>
          <w:i/>
          <w:iCs/>
          <w:color w:val="000000"/>
          <w:sz w:val="22"/>
          <w:szCs w:val="22"/>
        </w:rPr>
        <w:t xml:space="preserve">Phytologia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144–145. </w:t>
      </w:r>
    </w:p>
    <w:p>
      <w:pPr>
        <w:widowControl w:val="on"/>
        <w:pBdr/>
        <w:spacing w:before="220" w:after="220" w:line="240" w:lineRule="auto"/>
        <w:ind w:left="0" w:right="0"/>
        <w:jc w:val="left"/>
      </w:pPr>
      <w:r>
        <w:rPr>
          <w:rFonts w:ascii="Calibri" w:hAnsi="Calibri" w:eastAsia="Calibri" w:cs="Calibri"/>
          <w:color w:val="000000"/>
          <w:sz w:val="22"/>
          <w:szCs w:val="22"/>
        </w:rPr>
        <w:t xml:space="preserve">USDA National Resource Conservation Service (2016) </w:t>
      </w:r>
      <w:hyperlink r:id="rId911469bca59561df8" w:history="1">
        <w:r>
          <w:rPr>
            <w:rFonts w:ascii="Calibri" w:hAnsi="Calibri" w:eastAsia="Calibri" w:cs="Calibri"/>
            <w:color w:val="0000CC"/>
            <w:sz w:val="22"/>
            <w:szCs w:val="22"/>
            <w:u w:val="single"/>
          </w:rPr>
          <w:t xml:space="preserve">https://plants. usda.gov/java/</w:t>
        </w:r>
      </w:hyperlink>
      <w:r>
        <w:rPr>
          <w:rFonts w:ascii="Calibri" w:hAnsi="Calibri" w:eastAsia="Calibri" w:cs="Calibri"/>
          <w:color w:val="000000"/>
          <w:sz w:val="22"/>
          <w:szCs w:val="22"/>
        </w:rPr>
        <w:t xml:space="preserve"> [accessed on 24 March 2016] </w:t>
      </w:r>
    </w:p>
    <w:p>
      <w:pPr>
        <w:widowControl w:val="on"/>
        <w:pBdr/>
        <w:spacing w:before="220" w:after="220" w:line="240" w:lineRule="auto"/>
        <w:ind w:left="0" w:right="0"/>
        <w:jc w:val="left"/>
      </w:pPr>
      <w:r>
        <w:rPr>
          <w:rFonts w:ascii="Calibri" w:hAnsi="Calibri" w:eastAsia="Calibri" w:cs="Calibri"/>
          <w:color w:val="000000"/>
          <w:sz w:val="22"/>
          <w:szCs w:val="22"/>
        </w:rPr>
        <w:t xml:space="preserve">Vivian-Smith G, Hinchliffe G &amp; Weber J (2005) Fecundity and germination of the invasive aquatic plant, Senegal tea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(D.Don) DC.).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145–147. </w:t>
      </w:r>
    </w:p>
    <w:p>
      <w:pPr>
        <w:widowControl w:val="on"/>
        <w:pBdr/>
        <w:spacing w:before="220" w:after="220" w:line="240" w:lineRule="auto"/>
        <w:ind w:left="0" w:right="0"/>
        <w:jc w:val="left"/>
      </w:pPr>
      <w:r>
        <w:rPr>
          <w:rFonts w:ascii="Calibri" w:hAnsi="Calibri" w:eastAsia="Calibri" w:cs="Calibri"/>
          <w:color w:val="000000"/>
          <w:sz w:val="22"/>
          <w:szCs w:val="22"/>
        </w:rPr>
        <w:t xml:space="preserve">Wang H-C, Wan Y-H, Wang C-Y &amp; He Z-R (2010) New invasive and new distribution species of spermatophyte in Yunnan.</w:t>
      </w:r>
      <w:r>
        <w:rPr>
          <w:rFonts w:ascii="Calibri" w:hAnsi="Calibri" w:eastAsia="Calibri" w:cs="Calibri"/>
          <w:i/>
          <w:iCs/>
          <w:color w:val="000000"/>
          <w:sz w:val="22"/>
          <w:szCs w:val="22"/>
        </w:rPr>
        <w:t xml:space="preserve"> Acta Botanica Yunnanica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227–229 (in Chinese). </w:t>
      </w:r>
    </w:p>
    <w:p>
      <w:pPr>
        <w:widowControl w:val="on"/>
        <w:pBdr/>
        <w:spacing w:before="220" w:after="220" w:line="240" w:lineRule="auto"/>
        <w:ind w:left="0" w:right="0"/>
        <w:jc w:val="left"/>
      </w:pPr>
      <w:r>
        <w:rPr>
          <w:rFonts w:ascii="Calibri" w:hAnsi="Calibri" w:eastAsia="Calibri" w:cs="Calibri"/>
          <w:color w:val="000000"/>
          <w:sz w:val="22"/>
          <w:szCs w:val="22"/>
        </w:rPr>
        <w:t xml:space="preserve">Weed Science Society of America (WSSA) (2012) Fact sheet for</w:t>
      </w:r>
      <w:r>
        <w:rPr>
          <w:rFonts w:ascii="Calibri" w:hAnsi="Calibri" w:eastAsia="Calibri" w:cs="Calibri"/>
          <w:i/>
          <w:iCs/>
          <w:color w:val="000000"/>
          <w:sz w:val="22"/>
          <w:szCs w:val="22"/>
        </w:rPr>
        <w:t xml:space="preserve"> Gymnocoronis spilanthoides</w:t>
      </w:r>
      <w:r>
        <w:rPr>
          <w:rFonts w:ascii="Calibri" w:hAnsi="Calibri" w:eastAsia="Calibri" w:cs="Calibri"/>
          <w:color w:val="000000"/>
          <w:sz w:val="22"/>
          <w:szCs w:val="22"/>
        </w:rPr>
        <w:t xml:space="preserve">. </w:t>
      </w:r>
      <w:hyperlink r:id="rId310969bca59561f35" w:history="1">
        <w:r>
          <w:rPr>
            <w:rFonts w:ascii="Calibri" w:hAnsi="Calibri" w:eastAsia="Calibri" w:cs="Calibri"/>
            <w:color w:val="0000CC"/>
            <w:sz w:val="22"/>
            <w:szCs w:val="22"/>
            <w:u w:val="single"/>
          </w:rPr>
          <w:t xml:space="preserve">http://wssa.net/wp-content/uploads/ Gymnocoronis-spilanthoides.pdf</w:t>
        </w:r>
      </w:hyperlink>
      <w:r>
        <w:rPr>
          <w:rFonts w:ascii="Calibri" w:hAnsi="Calibri" w:eastAsia="Calibri" w:cs="Calibri"/>
          <w:color w:val="000000"/>
          <w:sz w:val="22"/>
          <w:szCs w:val="22"/>
        </w:rPr>
        <w:t xml:space="preserve">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Wu S-H, Yang TYA, Teng Y-C, Chang C-Y, Yang K-C &amp; Hsieh C-F (2010) Insights of the latest naturalized flora of Taiwan: change in the past eight years. </w:t>
      </w:r>
      <w:r>
        <w:rPr>
          <w:rFonts w:ascii="Calibri" w:hAnsi="Calibri" w:eastAsia="Calibri" w:cs="Calibri"/>
          <w:i/>
          <w:iCs/>
          <w:color w:val="000000"/>
          <w:sz w:val="22"/>
          <w:szCs w:val="22"/>
        </w:rPr>
        <w:t xml:space="preserve">Taiwania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139–159.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for the EPPO region in October 2016. The composition of the expert working group was: D. Chapman (Centre for Ecology and Hydrology, UK), A. Petroeschevsky (Australia), D. Lieurance (University of Florida, US), P. Champion (National Institute of Water and Atmospheric Research, NZ), A. Hussner (University of Dusseldorf, DE), J. van Valkenburg (National Plant Protection Organization, NL),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EPPO datasheets on pests recommended for regulation. Available online. </w:t>
      </w:r>
      <w:hyperlink r:id="rId326569bca5956207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544-548. </w:t>
      </w:r>
      <w:hyperlink r:id="rId251769bca5956213d" w:history="1">
        <w:r>
          <w:rPr>
            <w:rFonts w:ascii="Calibri" w:hAnsi="Calibri" w:eastAsia="Calibri" w:cs="Calibri"/>
            <w:color w:val="0000CC"/>
            <w:sz w:val="22"/>
            <w:szCs w:val="22"/>
            <w:u w:val="single"/>
          </w:rPr>
          <w:t xml:space="preserve">https://doi.org/10.1111/epp.12430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233793">
    <w:multiLevelType w:val="hybridMultilevel"/>
    <w:lvl w:ilvl="0" w:tplc="56350235">
      <w:start w:val="1"/>
      <w:numFmt w:val="decimal"/>
      <w:lvlText w:val="%1."/>
      <w:lvlJc w:val="left"/>
      <w:pPr>
        <w:ind w:left="720" w:hanging="360"/>
      </w:pPr>
    </w:lvl>
    <w:lvl w:ilvl="1" w:tplc="56350235" w:tentative="1">
      <w:start w:val="1"/>
      <w:numFmt w:val="lowerLetter"/>
      <w:lvlText w:val="%2."/>
      <w:lvlJc w:val="left"/>
      <w:pPr>
        <w:ind w:left="1440" w:hanging="360"/>
      </w:pPr>
    </w:lvl>
    <w:lvl w:ilvl="2" w:tplc="56350235" w:tentative="1">
      <w:start w:val="1"/>
      <w:numFmt w:val="lowerRoman"/>
      <w:lvlText w:val="%3."/>
      <w:lvlJc w:val="right"/>
      <w:pPr>
        <w:ind w:left="2160" w:hanging="180"/>
      </w:pPr>
    </w:lvl>
    <w:lvl w:ilvl="3" w:tplc="56350235" w:tentative="1">
      <w:start w:val="1"/>
      <w:numFmt w:val="decimal"/>
      <w:lvlText w:val="%4."/>
      <w:lvlJc w:val="left"/>
      <w:pPr>
        <w:ind w:left="2880" w:hanging="360"/>
      </w:pPr>
    </w:lvl>
    <w:lvl w:ilvl="4" w:tplc="56350235" w:tentative="1">
      <w:start w:val="1"/>
      <w:numFmt w:val="lowerLetter"/>
      <w:lvlText w:val="%5."/>
      <w:lvlJc w:val="left"/>
      <w:pPr>
        <w:ind w:left="3600" w:hanging="360"/>
      </w:pPr>
    </w:lvl>
    <w:lvl w:ilvl="5" w:tplc="56350235" w:tentative="1">
      <w:start w:val="1"/>
      <w:numFmt w:val="lowerRoman"/>
      <w:lvlText w:val="%6."/>
      <w:lvlJc w:val="right"/>
      <w:pPr>
        <w:ind w:left="4320" w:hanging="180"/>
      </w:pPr>
    </w:lvl>
    <w:lvl w:ilvl="6" w:tplc="56350235" w:tentative="1">
      <w:start w:val="1"/>
      <w:numFmt w:val="decimal"/>
      <w:lvlText w:val="%7."/>
      <w:lvlJc w:val="left"/>
      <w:pPr>
        <w:ind w:left="5040" w:hanging="360"/>
      </w:pPr>
    </w:lvl>
    <w:lvl w:ilvl="7" w:tplc="56350235" w:tentative="1">
      <w:start w:val="1"/>
      <w:numFmt w:val="lowerLetter"/>
      <w:lvlText w:val="%8."/>
      <w:lvlJc w:val="left"/>
      <w:pPr>
        <w:ind w:left="5760" w:hanging="360"/>
      </w:pPr>
    </w:lvl>
    <w:lvl w:ilvl="8" w:tplc="56350235" w:tentative="1">
      <w:start w:val="1"/>
      <w:numFmt w:val="lowerRoman"/>
      <w:lvlText w:val="%9."/>
      <w:lvlJc w:val="right"/>
      <w:pPr>
        <w:ind w:left="6480" w:hanging="180"/>
      </w:pPr>
    </w:lvl>
  </w:abstractNum>
  <w:abstractNum w:abstractNumId="16233792">
    <w:multiLevelType w:val="hybridMultilevel"/>
    <w:lvl w:ilvl="0" w:tplc="405488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233792">
    <w:abstractNumId w:val="16233792"/>
  </w:num>
  <w:num w:numId="16233793">
    <w:abstractNumId w:val="162337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2261003" Type="http://schemas.microsoft.com/office/2011/relationships/commentsExtended" Target="commentsExtended.xml"/><Relationship Id="rId688444703" Type="http://schemas.microsoft.com/office/2011/relationships/people" Target="people.xml"/><Relationship Id="rId946469bca5955ed73" Type="http://schemas.openxmlformats.org/officeDocument/2006/relationships/hyperlink" Target="https://gd.eppo.int/taxon/GYNSP/" TargetMode="External"/><Relationship Id="rId425969bca5955eddf" Type="http://schemas.openxmlformats.org/officeDocument/2006/relationships/hyperlink" Target="https://gd.eppo.int/taxon/GYNSP/categorization" TargetMode="External"/><Relationship Id="rId781369bca5955f5bf" Type="http://schemas.openxmlformats.org/officeDocument/2006/relationships/hyperlink" Target="https://gd.eppo.int/taxon/GYNSP/photos" TargetMode="External"/><Relationship Id="rId191369bca59561386" Type="http://schemas.openxmlformats.org/officeDocument/2006/relationships/hyperlink" Target="http://www.environment.gov.au/cgi-bin/biodiversity/invasive/weeds/weeddetails.pl?taxon_id=12850" TargetMode="External"/><Relationship Id="rId717169bca595615cf" Type="http://schemas.openxmlformats.org/officeDocument/2006/relationships/hyperlink" Target="https://www.mfe.govt.nz/sites/default/file%20s/lm-alien-invaders-jun02.pdf" TargetMode="External"/><Relationship Id="rId251669bca59561690" Type="http://schemas.openxmlformats.org/officeDocument/2006/relationships/hyperlink" Target="http://www.environment.gov.au/biodiversity/invasive/weeds/publications/guidelines/alert/pubs/g-spilanthoides.pdf" TargetMode="External"/><Relationship Id="rId107469bca595616d2" Type="http://schemas.openxmlformats.org/officeDocument/2006/relationships/hyperlink" Target="http://www.environment.gov.au/biodiversity/invasive/weeds/publications/books/pubs/potential.pdf" TargetMode="External"/><Relationship Id="rId843769bca5956174f" Type="http://schemas.openxmlformats.org/officeDocument/2006/relationships/hyperlink" Target="https://www.eppo.int/INVASIVE_PLANTS/ias_plants.htm" TargetMode="External"/><Relationship Id="rId812869bca595617ed" Type="http://schemas.openxmlformats.org/officeDocument/2006/relationships/hyperlink" Target="http://www.doc.govt.nz/documents/science-and-technical/drds292.pdf" TargetMode="External"/><Relationship Id="rId302369bca59561a62" Type="http://schemas.openxmlformats.org/officeDocument/2006/relationships/hyperlink" Target="http://nzpcn.org.nz/flora_details.asp?ID=4031" TargetMode="External"/><Relationship Id="rId911469bca59561df8" Type="http://schemas.openxmlformats.org/officeDocument/2006/relationships/hyperlink" Target="https://plants.%20usda.gov/java/" TargetMode="External"/><Relationship Id="rId310969bca59561f35" Type="http://schemas.openxmlformats.org/officeDocument/2006/relationships/hyperlink" Target="http://wssa.net/wp-content/uploads/%20Gymnocoronis-spilanthoides.pdf" TargetMode="External"/><Relationship Id="rId326569bca59562075" Type="http://schemas.openxmlformats.org/officeDocument/2006/relationships/hyperlink" Target="https://gd.eppo.int" TargetMode="External"/><Relationship Id="rId251769bca5956213d" Type="http://schemas.openxmlformats.org/officeDocument/2006/relationships/hyperlink" Target="https://doi.org/10.1111/epp.12430" TargetMode="External"/><Relationship Id="rId608569bca5955f489" Type="http://schemas.openxmlformats.org/officeDocument/2006/relationships/image" Target="media/imgrId608569bca5955f489.jpg"/><Relationship Id="rId332869bca5956060b" Type="http://schemas.openxmlformats.org/officeDocument/2006/relationships/image" Target="media/imgrId332869bca5956060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