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Gymnosporangium asiaticum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asiaticum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G.Yamada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Gymnosporangiaceae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chinense</w:t>
            </w:r>
            <w:r>
              <w:rPr>
                <w:rFonts w:ascii="Calibri" w:hAnsi="Calibri" w:eastAsia="Calibri" w:cs="Calibri"/>
                <w:color w:val="000000"/>
                <w:position w:val="-3"/>
                <w:sz w:val="22"/>
                <w:szCs w:val="22"/>
              </w:rPr>
              <w:t xml:space="preserve"> Long, </w:t>
            </w:r>
            <w:r>
              <w:rPr>
                <w:rFonts w:ascii="Calibri" w:hAnsi="Calibri" w:eastAsia="Calibri" w:cs="Calibri"/>
                <w:i/>
                <w:iCs/>
                <w:color w:val="000000"/>
                <w:position w:val="-3"/>
                <w:sz w:val="22"/>
                <w:szCs w:val="22"/>
              </w:rPr>
              <w:t xml:space="preserve">Gymnosporangium haraeanum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koreense</w:t>
            </w:r>
            <w:r>
              <w:rPr>
                <w:rFonts w:ascii="Calibri" w:hAnsi="Calibri" w:eastAsia="Calibri" w:cs="Calibri"/>
                <w:color w:val="000000"/>
                <w:position w:val="-3"/>
                <w:sz w:val="22"/>
                <w:szCs w:val="22"/>
              </w:rPr>
              <w:t xml:space="preserve"> (Hennings) H.S. Jackson, </w:t>
            </w:r>
            <w:r>
              <w:rPr>
                <w:rFonts w:ascii="Calibri" w:hAnsi="Calibri" w:eastAsia="Calibri" w:cs="Calibri"/>
                <w:i/>
                <w:iCs/>
                <w:color w:val="000000"/>
                <w:position w:val="-3"/>
                <w:sz w:val="22"/>
                <w:szCs w:val="22"/>
              </w:rPr>
              <w:t xml:space="preserve">Gymnosporangium photiniae</w:t>
            </w:r>
            <w:r>
              <w:rPr>
                <w:rFonts w:ascii="Calibri" w:hAnsi="Calibri" w:eastAsia="Calibri" w:cs="Calibri"/>
                <w:color w:val="000000"/>
                <w:position w:val="-3"/>
                <w:sz w:val="22"/>
                <w:szCs w:val="22"/>
              </w:rPr>
              <w:t xml:space="preserve"> (Hennings) F. Kern, </w:t>
            </w:r>
            <w:r>
              <w:rPr>
                <w:rFonts w:ascii="Calibri" w:hAnsi="Calibri" w:eastAsia="Calibri" w:cs="Calibri"/>
                <w:i/>
                <w:iCs/>
                <w:color w:val="000000"/>
                <w:position w:val="-3"/>
                <w:sz w:val="22"/>
                <w:szCs w:val="22"/>
              </w:rPr>
              <w:t xml:space="preserve">Gymnosporangium spiniferum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unicorne</w:t>
            </w:r>
            <w:r>
              <w:rPr>
                <w:rFonts w:ascii="Calibri" w:hAnsi="Calibri" w:eastAsia="Calibri" w:cs="Calibri"/>
                <w:color w:val="000000"/>
                <w:position w:val="-3"/>
                <w:sz w:val="22"/>
                <w:szCs w:val="22"/>
              </w:rPr>
              <w:t xml:space="preserve"> H.Y. Yun, </w:t>
            </w:r>
            <w:r>
              <w:rPr>
                <w:rFonts w:ascii="Calibri" w:hAnsi="Calibri" w:eastAsia="Calibri" w:cs="Calibri"/>
                <w:i/>
                <w:iCs/>
                <w:color w:val="000000"/>
                <w:position w:val="-3"/>
                <w:sz w:val="22"/>
                <w:szCs w:val="22"/>
              </w:rPr>
              <w:t xml:space="preserve">Roestelia koreaensis</w:t>
            </w:r>
            <w:r>
              <w:rPr>
                <w:rFonts w:ascii="Calibri" w:hAnsi="Calibri" w:eastAsia="Calibri" w:cs="Calibri"/>
                <w:color w:val="000000"/>
                <w:position w:val="-3"/>
                <w:sz w:val="22"/>
                <w:szCs w:val="22"/>
              </w:rPr>
              <w:t xml:space="preserve"> Hennings, </w:t>
            </w:r>
            <w:r>
              <w:rPr>
                <w:rFonts w:ascii="Calibri" w:hAnsi="Calibri" w:eastAsia="Calibri" w:cs="Calibri"/>
                <w:i/>
                <w:iCs/>
                <w:color w:val="000000"/>
                <w:position w:val="-3"/>
                <w:sz w:val="22"/>
                <w:szCs w:val="22"/>
              </w:rPr>
              <w:t xml:space="preserve">Roestelia photiniae</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rust of Japanese pear, leaf rust of juniper, rust of oriental pear</w:t>
            </w:r>
            <w:hyperlink r:id="rId764769ced1f9bbf4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55869ced1f9bbf9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GYMNAS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334437" name="name608669ced1f9bc606" descr="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9.jpg"/>
                          <pic:cNvPicPr/>
                        </pic:nvPicPr>
                        <pic:blipFill>
                          <a:blip r:embed="rId867169ced1f9bc604" cstate="print"/>
                          <a:stretch>
                            <a:fillRect/>
                          </a:stretch>
                        </pic:blipFill>
                        <pic:spPr>
                          <a:xfrm>
                            <a:off x="0" y="0"/>
                            <a:ext cx="2160000" cy="1281600"/>
                          </a:xfrm>
                          <a:prstGeom prst="rect">
                            <a:avLst/>
                          </a:prstGeom>
                          <a:ln w="0">
                            <a:noFill/>
                          </a:ln>
                        </pic:spPr>
                      </pic:pic>
                    </a:graphicData>
                  </a:graphic>
                </wp:inline>
              </w:drawing>
            </w:r>
            <w:hyperlink r:id="rId960269ced1f9bc77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was established to accommodate </w:t>
      </w:r>
      <w:r>
        <w:rPr>
          <w:rFonts w:ascii="Calibri" w:hAnsi="Calibri" w:eastAsia="Calibri" w:cs="Calibri"/>
          <w:i/>
          <w:iCs/>
          <w:color w:val="000000"/>
          <w:sz w:val="22"/>
          <w:szCs w:val="22"/>
        </w:rPr>
        <w:t xml:space="preserve">G. fuscum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Juniperus sabina</w:t>
      </w:r>
      <w:r>
        <w:rPr>
          <w:rFonts w:ascii="Calibri" w:hAnsi="Calibri" w:eastAsia="Calibri" w:cs="Calibri"/>
          <w:color w:val="000000"/>
          <w:sz w:val="22"/>
          <w:szCs w:val="22"/>
        </w:rPr>
        <w:t xml:space="preserve">. To date, over 70 species of this genus have been reported worldwide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genus has long been classified in the family</w:t>
      </w:r>
      <w:r>
        <w:rPr>
          <w:rFonts w:ascii="Calibri" w:hAnsi="Calibri" w:eastAsia="Calibri" w:cs="Calibri"/>
          <w:i/>
          <w:iCs/>
          <w:color w:val="000000"/>
          <w:sz w:val="22"/>
          <w:szCs w:val="22"/>
        </w:rPr>
        <w:t xml:space="preserve"> Pucciniaceae</w:t>
      </w:r>
      <w:r>
        <w:rPr>
          <w:rFonts w:ascii="Calibri" w:hAnsi="Calibri" w:eastAsia="Calibri" w:cs="Calibri"/>
          <w:color w:val="000000"/>
          <w:sz w:val="22"/>
          <w:szCs w:val="22"/>
        </w:rPr>
        <w:t xml:space="preserve"> due to its pedicellate teliospores and Group V spermogonia (Hiratsuka &amp; Hiratsuka, 1980;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Cummins &amp; Hiratsuka, 2003). However, recent phylogenetic studies suggested its phylogenetic distinction from core </w:t>
      </w:r>
      <w:r>
        <w:rPr>
          <w:rFonts w:ascii="Calibri" w:hAnsi="Calibri" w:eastAsia="Calibri" w:cs="Calibri"/>
          <w:i/>
          <w:iCs/>
          <w:color w:val="000000"/>
          <w:sz w:val="22"/>
          <w:szCs w:val="22"/>
        </w:rPr>
        <w:t xml:space="preserve">Pucciniaceae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Uromyces</w:t>
      </w:r>
      <w:r>
        <w:rPr>
          <w:rFonts w:ascii="Calibri" w:hAnsi="Calibri" w:eastAsia="Calibri" w:cs="Calibri"/>
          <w:color w:val="000000"/>
          <w:sz w:val="22"/>
          <w:szCs w:val="22"/>
        </w:rPr>
        <w:t xml:space="preserve">)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Thus, a new family, </w:t>
      </w:r>
      <w:r>
        <w:rPr>
          <w:rFonts w:ascii="Calibri" w:hAnsi="Calibri" w:eastAsia="Calibri" w:cs="Calibri"/>
          <w:i/>
          <w:iCs/>
          <w:color w:val="000000"/>
          <w:sz w:val="22"/>
          <w:szCs w:val="22"/>
        </w:rPr>
        <w:t xml:space="preserve">Gymnosporangiaceae</w:t>
      </w:r>
      <w:r>
        <w:rPr>
          <w:rFonts w:ascii="Calibri" w:hAnsi="Calibri" w:eastAsia="Calibri" w:cs="Calibri"/>
          <w:color w:val="000000"/>
          <w:sz w:val="22"/>
          <w:szCs w:val="22"/>
        </w:rPr>
        <w:t xml:space="preserve">, was proposed to accommodate the genus </w:t>
      </w:r>
      <w:r>
        <w:rPr>
          <w:rFonts w:ascii="Calibri" w:hAnsi="Calibri" w:eastAsia="Calibri" w:cs="Calibri"/>
          <w:i/>
          <w:iCs/>
          <w:color w:val="000000"/>
          <w:sz w:val="22"/>
          <w:szCs w:val="22"/>
        </w:rPr>
        <w:t xml:space="preserve">Gymnosporangium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such taxonomic treatment was widely accepted thereafter (Aime &amp; McTarggart, 2021).</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these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was reported as a causal agent of Japanese pear rust diseases. Historically,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first described by Sydow (1899) as</w:t>
      </w:r>
      <w:r>
        <w:rPr>
          <w:rFonts w:ascii="Calibri" w:hAnsi="Calibri" w:eastAsia="Calibri" w:cs="Calibri"/>
          <w:i/>
          <w:iCs/>
          <w:color w:val="000000"/>
          <w:sz w:val="22"/>
          <w:szCs w:val="22"/>
        </w:rPr>
        <w:t xml:space="preserve"> Gymnosporangium japonicum </w:t>
      </w:r>
      <w:r>
        <w:rPr>
          <w:rFonts w:ascii="Calibri" w:hAnsi="Calibri" w:eastAsia="Calibri" w:cs="Calibri"/>
          <w:color w:val="000000"/>
          <w:sz w:val="22"/>
          <w:szCs w:val="22"/>
        </w:rPr>
        <w:t xml:space="preserve">at Komaba, Tokyo. Miyabe (1903) considered that the Japanese pear rust fungus was a new species called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differing from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japonicum</w:t>
      </w:r>
      <w:r>
        <w:rPr>
          <w:rFonts w:ascii="Calibri" w:hAnsi="Calibri" w:eastAsia="Calibri" w:cs="Calibri"/>
          <w:color w:val="000000"/>
          <w:sz w:val="22"/>
          <w:szCs w:val="22"/>
        </w:rPr>
        <w:t xml:space="preserve">, and that its aecia also occurred on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Chaenomeles speciosa</w:t>
      </w:r>
      <w:r>
        <w:rPr>
          <w:rFonts w:ascii="Calibri" w:hAnsi="Calibri" w:eastAsia="Calibri" w:cs="Calibri"/>
          <w:color w:val="000000"/>
          <w:sz w:val="22"/>
          <w:szCs w:val="22"/>
        </w:rPr>
        <w:t xml:space="preserve">, and its telia on leaves of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However, he did not publish a description of this species in any form. Later Yamada (1904) validly described this species based on collections by K. Hara at Kawaue-mura, Gifu prefecture of Japan. Despite the existence of the valid name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color w:val="000000"/>
          <w:sz w:val="22"/>
          <w:szCs w:val="22"/>
        </w:rPr>
        <w:t xml:space="preserve">, Sydow and Sydow (1912) renamed the leaf-inhabiting form observed on juniper leaves as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based on the collection of Hara from Mino, Gifu prefecture, Japan. However, Hara confirmed that the alternate host (aecial host) of this rust fungus was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while Ito further added </w:t>
      </w:r>
      <w:r>
        <w:rPr>
          <w:rFonts w:ascii="Calibri" w:hAnsi="Calibri" w:eastAsia="Calibri" w:cs="Calibri"/>
          <w:i/>
          <w:iCs/>
          <w:color w:val="000000"/>
          <w:sz w:val="22"/>
          <w:szCs w:val="22"/>
        </w:rPr>
        <w:t xml:space="preserve">Photinia villosa </w:t>
      </w:r>
      <w:r>
        <w:rPr>
          <w:rFonts w:ascii="Calibri" w:hAnsi="Calibri" w:eastAsia="Calibri" w:cs="Calibri"/>
          <w:color w:val="000000"/>
          <w:sz w:val="22"/>
          <w:szCs w:val="22"/>
        </w:rPr>
        <w:t xml:space="preserve">as an aecial host. Previously the rust fungus on </w:t>
      </w:r>
      <w:r>
        <w:rPr>
          <w:rFonts w:ascii="Calibri" w:hAnsi="Calibri" w:eastAsia="Calibri" w:cs="Calibri"/>
          <w:i/>
          <w:iCs/>
          <w:color w:val="000000"/>
          <w:sz w:val="22"/>
          <w:szCs w:val="22"/>
        </w:rPr>
        <w:t xml:space="preserve">Photinia villosa</w:t>
      </w:r>
      <w:r>
        <w:rPr>
          <w:rFonts w:ascii="Calibri" w:hAnsi="Calibri" w:eastAsia="Calibri" w:cs="Calibri"/>
          <w:color w:val="000000"/>
          <w:sz w:val="22"/>
          <w:szCs w:val="22"/>
        </w:rPr>
        <w:t xml:space="preserve"> in Japan was first described under the name of </w:t>
      </w:r>
      <w:r>
        <w:rPr>
          <w:rFonts w:ascii="Calibri" w:hAnsi="Calibri" w:eastAsia="Calibri" w:cs="Calibri"/>
          <w:i/>
          <w:iCs/>
          <w:color w:val="000000"/>
          <w:sz w:val="22"/>
          <w:szCs w:val="22"/>
        </w:rPr>
        <w:t xml:space="preserve">Roestelia photiniae</w:t>
      </w:r>
      <w:r>
        <w:rPr>
          <w:rFonts w:ascii="Calibri" w:hAnsi="Calibri" w:eastAsia="Calibri" w:cs="Calibri"/>
          <w:color w:val="000000"/>
          <w:sz w:val="22"/>
          <w:szCs w:val="22"/>
        </w:rPr>
        <w:t xml:space="preserve">, and Kern (1911) classified it into the genus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based on aecial similarities. Although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was proposed, this species showed high morphological similarities with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haraeanum. </w:t>
      </w:r>
      <w:r>
        <w:rPr>
          <w:rFonts w:ascii="Calibri" w:hAnsi="Calibri" w:eastAsia="Calibri" w:cs="Calibri"/>
          <w:color w:val="000000"/>
          <w:sz w:val="22"/>
          <w:szCs w:val="22"/>
        </w:rPr>
        <w:t xml:space="preserve">Thus, Ito (1950) treated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and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as synonyms of</w:t>
      </w:r>
      <w:r>
        <w:rPr>
          <w:rFonts w:ascii="Calibri" w:hAnsi="Calibri" w:eastAsia="Calibri" w:cs="Calibri"/>
          <w:i/>
          <w:iCs/>
          <w:color w:val="000000"/>
          <w:sz w:val="22"/>
          <w:szCs w:val="22"/>
        </w:rPr>
        <w:t xml:space="preserve"> G.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due to nomenclature priority. Moreover, Long (1914) described a new species, </w:t>
      </w:r>
      <w:r>
        <w:rPr>
          <w:rFonts w:ascii="Calibri" w:hAnsi="Calibri" w:eastAsia="Calibri" w:cs="Calibri"/>
          <w:i/>
          <w:iCs/>
          <w:color w:val="000000"/>
          <w:sz w:val="22"/>
          <w:szCs w:val="22"/>
        </w:rPr>
        <w:t xml:space="preserve">Gymnosporangium chinense</w:t>
      </w:r>
      <w:r>
        <w:rPr>
          <w:rFonts w:ascii="Calibri" w:hAnsi="Calibri" w:eastAsia="Calibri" w:cs="Calibri"/>
          <w:color w:val="000000"/>
          <w:sz w:val="22"/>
          <w:szCs w:val="22"/>
        </w:rPr>
        <w:t xml:space="preserve"> based upon plant material imported from Japan in a nursery in Connecticut (US). The aecial state of this fungus was first described by Hennings (1899) based upon a specimen collected by O. Warburg on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in Korea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next year, Dietel (1900b) identified the aecial state of this fungus on</w:t>
      </w:r>
      <w:r>
        <w:rPr>
          <w:rFonts w:ascii="Calibri" w:hAnsi="Calibri" w:eastAsia="Calibri" w:cs="Calibri"/>
          <w:i/>
          <w:iCs/>
          <w:color w:val="000000"/>
          <w:sz w:val="22"/>
          <w:szCs w:val="22"/>
        </w:rPr>
        <w:t xml:space="preserve"> Pyrus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 laevis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villosa </w:t>
      </w:r>
      <w:r>
        <w:rPr>
          <w:rFonts w:ascii="Calibri" w:hAnsi="Calibri" w:eastAsia="Calibri" w:cs="Calibri"/>
          <w:color w:val="000000"/>
          <w:sz w:val="22"/>
          <w:szCs w:val="22"/>
        </w:rPr>
        <w:t xml:space="preserve">which were collected by S. Kusano in Tokyo, and called it</w:t>
      </w:r>
      <w:r>
        <w:rPr>
          <w:rFonts w:ascii="Calibri" w:hAnsi="Calibri" w:eastAsia="Calibri" w:cs="Calibri"/>
          <w:i/>
          <w:iCs/>
          <w:color w:val="000000"/>
          <w:sz w:val="22"/>
          <w:szCs w:val="22"/>
        </w:rPr>
        <w:t xml:space="preserve"> Gymnosporangium confusum</w:t>
      </w:r>
      <w:r>
        <w:rPr>
          <w:rFonts w:ascii="Calibri" w:hAnsi="Calibri" w:eastAsia="Calibri" w:cs="Calibri"/>
          <w:color w:val="000000"/>
          <w:sz w:val="22"/>
          <w:szCs w:val="22"/>
        </w:rPr>
        <w:t xml:space="preserve">. In 1912, Sydow and Sydow regarded the aecial state of this fungus on leaves of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as a new species giving it the name </w:t>
      </w:r>
      <w:r>
        <w:rPr>
          <w:rFonts w:ascii="Calibri" w:hAnsi="Calibri" w:eastAsia="Calibri" w:cs="Calibri"/>
          <w:i/>
          <w:iCs/>
          <w:color w:val="000000"/>
          <w:sz w:val="22"/>
          <w:szCs w:val="22"/>
        </w:rPr>
        <w:t xml:space="preserve">Gymnosporangium spiniferum</w:t>
      </w:r>
      <w:r>
        <w:rPr>
          <w:rFonts w:ascii="Calibri" w:hAnsi="Calibri" w:eastAsia="Calibri" w:cs="Calibri"/>
          <w:color w:val="000000"/>
          <w:sz w:val="22"/>
          <w:szCs w:val="22"/>
        </w:rPr>
        <w:t xml:space="preserve">, based upon a specimen which was collected by Sakurai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also reported a new species,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based on the morphological characteristics of its telia. Hitherto, these seven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w:t>
      </w:r>
      <w:r>
        <w:rPr>
          <w:rFonts w:ascii="Calibri" w:hAnsi="Calibri" w:eastAsia="Calibri" w:cs="Calibri"/>
          <w:i/>
          <w:iCs/>
          <w:color w:val="000000"/>
          <w:sz w:val="22"/>
          <w:szCs w:val="22"/>
        </w:rPr>
        <w:t xml:space="preserve"> 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G. </w:t>
      </w:r>
      <w:r>
        <w:rPr>
          <w:rFonts w:ascii="Calibri" w:hAnsi="Calibri" w:eastAsia="Calibri" w:cs="Calibri"/>
          <w:i/>
          <w:iCs/>
          <w:color w:val="000000"/>
          <w:sz w:val="22"/>
          <w:szCs w:val="22"/>
        </w:rPr>
        <w:t xml:space="preserve">photiniae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spiniferum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unicorne </w:t>
      </w:r>
      <w:r>
        <w:rPr>
          <w:rFonts w:ascii="Calibri" w:hAnsi="Calibri" w:eastAsia="Calibri" w:cs="Calibri"/>
          <w:color w:val="000000"/>
          <w:sz w:val="22"/>
          <w:szCs w:val="22"/>
        </w:rPr>
        <w:t xml:space="preserve">were frequently regarded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(Kern 1973,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a result of systematic studies of type materials, all of these species, with the exception of</w:t>
      </w:r>
      <w:r>
        <w:rPr>
          <w:rFonts w:ascii="Calibri" w:hAnsi="Calibri" w:eastAsia="Calibri" w:cs="Calibri"/>
          <w:i/>
          <w:iCs/>
          <w:color w:val="000000"/>
          <w:sz w:val="22"/>
          <w:szCs w:val="22"/>
        </w:rPr>
        <w:t xml:space="preserve"> G. japonicum</w:t>
      </w:r>
      <w:r>
        <w:rPr>
          <w:rFonts w:ascii="Calibri" w:hAnsi="Calibri" w:eastAsia="Calibri" w:cs="Calibri"/>
          <w:color w:val="000000"/>
          <w:sz w:val="22"/>
          <w:szCs w:val="22"/>
        </w:rPr>
        <w:t xml:space="preserve">, were confirmed to be conspecific with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2020,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designated a lectotype specimen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according to Yamada (1904), and an epitype specimen was also selected. Both morphological and molecular data were obtained from those type materials. Phylogenetic studies confirmed the species delimitation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their results agreed with the taxonomic treatment of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who treated </w:t>
      </w:r>
      <w:r>
        <w:rPr>
          <w:rFonts w:ascii="Calibri" w:hAnsi="Calibri" w:eastAsia="Calibri" w:cs="Calibri"/>
          <w:i/>
          <w:iCs/>
          <w:color w:val="000000"/>
          <w:sz w:val="22"/>
          <w:szCs w:val="22"/>
        </w:rPr>
        <w:t xml:space="preserve">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spiniferum</w:t>
      </w:r>
      <w:r>
        <w:rPr>
          <w:rFonts w:ascii="Calibri" w:hAnsi="Calibri" w:eastAsia="Calibri" w:cs="Calibri"/>
          <w:color w:val="000000"/>
          <w:sz w:val="22"/>
          <w:szCs w:val="22"/>
        </w:rPr>
        <w:t xml:space="preserve">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Moreover,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which had been proposed as a new species by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was also confirmed to be conspecific to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through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G. taianum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Cupressus duclouxiana</w:t>
      </w:r>
      <w:r>
        <w:rPr>
          <w:rFonts w:ascii="Calibri" w:hAnsi="Calibri" w:eastAsia="Calibri" w:cs="Calibri"/>
          <w:color w:val="000000"/>
          <w:sz w:val="22"/>
          <w:szCs w:val="22"/>
        </w:rPr>
        <w:t xml:space="preserve">, which has aecial hosts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Photina</w:t>
      </w:r>
      <w:r>
        <w:rPr>
          <w:rFonts w:ascii="Calibri" w:hAnsi="Calibri" w:eastAsia="Calibri" w:cs="Calibri"/>
          <w:color w:val="000000"/>
          <w:sz w:val="22"/>
          <w:szCs w:val="22"/>
        </w:rPr>
        <w:t xml:space="preserve"> and telial hosts on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species and their varieties, was found to be conspecific to</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The phylogenetic relationships of </w:t>
      </w:r>
      <w:r>
        <w:rPr>
          <w:rFonts w:ascii="Calibri" w:hAnsi="Calibri" w:eastAsia="Calibri" w:cs="Calibri"/>
          <w:i/>
          <w:iCs/>
          <w:color w:val="000000"/>
          <w:sz w:val="22"/>
          <w:szCs w:val="22"/>
        </w:rPr>
        <w:t xml:space="preserve">G.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 have already been studied, and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shown to be phylogenetically close to </w:t>
      </w:r>
      <w:r>
        <w:rPr>
          <w:rFonts w:ascii="Calibri" w:hAnsi="Calibri" w:eastAsia="Calibri" w:cs="Calibri"/>
          <w:i/>
          <w:iCs/>
          <w:color w:val="000000"/>
          <w:sz w:val="22"/>
          <w:szCs w:val="22"/>
        </w:rPr>
        <w:t xml:space="preserve">G. kanas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niitakayamense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hunglongense</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possibly other Asian pear species.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are recorded as hosts, but there is little information to suggest that they are significant hosts. Tai (1933) noted that, in China, most foreign pear cultivars were immune; a few were slightly susceptible, but much less than Japanese pear (the cultivars concerned are not currently grown in Europe). In Japan, neither of the two races of the fungus described by Sakuma (1992) gave more than tiny, limited lesions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Other hosts, in the subfamily </w:t>
      </w:r>
      <w:r>
        <w:rPr>
          <w:rFonts w:ascii="Calibri" w:hAnsi="Calibri" w:eastAsia="Calibri" w:cs="Calibri"/>
          <w:i/>
          <w:iCs/>
          <w:color w:val="000000"/>
          <w:sz w:val="22"/>
          <w:szCs w:val="22"/>
        </w:rPr>
        <w:t xml:space="preserve">Pomoideae </w:t>
      </w:r>
      <w:r>
        <w:rPr>
          <w:rFonts w:ascii="Calibri" w:hAnsi="Calibri" w:eastAsia="Calibri" w:cs="Calibri"/>
          <w:color w:val="000000"/>
          <w:sz w:val="22"/>
          <w:szCs w:val="22"/>
        </w:rPr>
        <w:t xml:space="preserve">of the family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The telial hosts in Asia are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J. procumbens</w:t>
      </w:r>
      <w:r>
        <w:rPr>
          <w:rFonts w:ascii="Calibri" w:hAnsi="Calibri" w:eastAsia="Calibri" w:cs="Calibri"/>
          <w:color w:val="000000"/>
          <w:sz w:val="22"/>
          <w:szCs w:val="22"/>
        </w:rPr>
        <w:t xml:space="preserve">, which are not native to Europe. The former is widely grown as an ornamental tree or as a bonsai plant. In western North America, the alternate host is the introduced species,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(Ziller, 1974). Through literature review and comprehensive taxonomic studies, the host range and their geographic distributions were revised and illustrated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x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duclouxiana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squamata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tibetica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ioensis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Pourthiaea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was first discovered in Japan, and it has since spread throughout Asia, including China, Japan, and South Korea. Zhuang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provided detailed geographic distributions of this species in China.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documented the regional range of the species in Japan.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listed detailed reports of this species from South Korea and the United States. In the EPPO region,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recorded only in the Russian Far East (Azbukina, 1984), and this single record has not been confirmed by more recent ones.</w:t>
      </w:r>
    </w:p>
    <w:p>
      <w:r>
        <w:drawing>
          <wp:inline distT="0" distB="0" distL="0" distR="0">
            <wp:extent cx="6120000" cy="3067200"/>
            <wp:docPr id="89110021" name="name911069ced1f9be96c" descr="GYMN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MNAS_distribution_map.jpg"/>
                    <pic:cNvPicPr/>
                  </pic:nvPicPr>
                  <pic:blipFill>
                    <a:blip r:embed="rId749669ced1f9be96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Hebei, Heilongjiang, Henan, Hubei, Hunan, Jiangsu, Jiangxi, Jilin, Liaoning, Neimenggu, Ningxia, Shaanxi, Shandong, Shanxi, Sichuan, Xianggang (Hong Kong), Xinjiang, Xizhang, Yunnan, Zhejiang), Japan (Hokkaido, Honshu, Kyushu, Ryukyu Archipelago, Shikoku),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Connecticut, New York, Oklahoma,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is heteroecious in that it requires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rosaceous hosts of the subfamily Pomoideae to complete its life cycle. Telia are produced on stems and leaves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In moist conditions, the telia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and produce basidiospores which are dispersed and are able to infect nearby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or other rosaceous hosts. Infection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persists for more than 1 year; indeed, infected twigs are reported to release basidiospores over many years (Aldwinckle,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from basidiospores gives rise to pycnia on the upper surface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leaves; they are visible from late spring to early summer. Lee (1990a) has studied the conditions needed for infection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leaves by sporidia from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Later, aeciospores are produced inside tubular protective sheaths (peridia) on the underside of the leaf. The aeciospores are released when the peridium ruptures and can be transported by the wind over long distances to reach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After germinating on </w:t>
      </w:r>
      <w:r>
        <w:rPr>
          <w:rFonts w:ascii="Calibri" w:hAnsi="Calibri" w:eastAsia="Calibri" w:cs="Calibri"/>
          <w:i/>
          <w:iCs/>
          <w:color w:val="000000"/>
          <w:sz w:val="22"/>
          <w:szCs w:val="22"/>
        </w:rPr>
        <w:t xml:space="preserve">J</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an overwintering latent mycelium is produced. Infection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does not persist after infected leaves have fallen. The telial state appears 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to begin the life cycle again. For more information see Tanaka (1922), Peterson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Juniperus chinensis</w:t>
      </w:r>
      <w:r>
        <w:rPr>
          <w:rFonts w:ascii="Calibri" w:hAnsi="Calibri" w:eastAsia="Calibri" w:cs="Calibri"/>
          <w:color w:val="000000"/>
          <w:sz w:val="22"/>
          <w:szCs w:val="22"/>
        </w:rPr>
        <w:t xml:space="preserve">, telia are produced on leaves and green stems (see Morphology). On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the most conspicuous symptoms are the appearance of the aecia and pycnia on the leaves (see 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Aecial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Aecia</w:t>
      </w:r>
      <w:r>
        <w:rPr>
          <w:rFonts w:ascii="Calibri" w:hAnsi="Calibri" w:eastAsia="Calibri" w:cs="Calibri"/>
          <w:color w:val="000000"/>
          <w:sz w:val="22"/>
          <w:szCs w:val="22"/>
        </w:rPr>
        <w:t xml:space="preserve"> foliicolous and caulicolous, hypophyllous, roestelioid; peridium tubular, lacerating at apex or spreading, 4–7 mm high, peridial cells linear-rhomboid, 55–103 × 18–31 µm, outer walls smooth, inner walls small papillae and side walls moderately rugose; aeciospores globoid, ovoid, large coronate, 18–26 × 14–22 µm, walls yellowish, 1.0–2.0 µm thick.</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Telial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Uredinia</w:t>
      </w:r>
      <w:r>
        <w:rPr>
          <w:rFonts w:ascii="Calibri" w:hAnsi="Calibri" w:eastAsia="Calibri" w:cs="Calibri"/>
          <w:color w:val="000000"/>
          <w:sz w:val="22"/>
          <w:szCs w:val="22"/>
        </w:rPr>
        <w:t xml:space="preserve"> absent. </w:t>
      </w:r>
      <w:r>
        <w:rPr>
          <w:rFonts w:ascii="Calibri" w:hAnsi="Calibri" w:eastAsia="Calibri" w:cs="Calibri"/>
          <w:i/>
          <w:iCs/>
          <w:color w:val="000000"/>
          <w:sz w:val="22"/>
          <w:szCs w:val="22"/>
        </w:rPr>
        <w:t xml:space="preserve">Telia</w:t>
      </w:r>
      <w:r>
        <w:rPr>
          <w:rFonts w:ascii="Calibri" w:hAnsi="Calibri" w:eastAsia="Calibri" w:cs="Calibri"/>
          <w:color w:val="000000"/>
          <w:sz w:val="22"/>
          <w:szCs w:val="22"/>
        </w:rPr>
        <w:t xml:space="preserve"> foliicolous or on green stems, developing on witches’ broom but without causing swelling on stem, aggregated bluntly conical, hemispherical, pulvinate or somewhat wedge-shaped; 2–6 mm high, brownish orange; teliospores 2-celled, broadly to narrowly ellipsoid, 31–50 × 16–27 µm, walls 1.0–2.5 mm, pale orange to orange, pores 1 or 2 near septum or 1 apical in upper cell; pedicels cylindrical, hyaline, 2.5–5.0 µm diam.</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can be found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inspection of imported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which may have latent infection is particularly important. A secure quarantine procedure would involve retention under closed conditions for 2 years and frequent inspection during January-May. A DNA barcode using concatenated data of rDNA ITS and LSU has already been used for detection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successfully detected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provides recommendations on how to detect and identify the fungus (EPPO, 2006). In addition, detection using rDNA ITS and LSU sequence data according to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 reliable molecular diagnostic method for this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spread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ensured by basidiospore dispersal to rosaceous hosts, and by wind-borne aeciospores to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trees within 100 m radius of a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tree are at high risk of infection, and up to 1000 m in windy situations (Unemoto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international trade, plants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from the Far East (especially bonsai plants) are liable to be infected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intercepted on bonsai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from Japan and Hong Kong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EFSA, 2018; Henderson, 2020). As is the case for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can be latent during winter (the probable importing period) and may not be detectable at pre-export phytosanitary certification. Infection may also have remained latent on the plants in the previous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on commercial importations of plants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or other rosaceous hosts is very unlikely as infection is not persistent in the dormant stage. Fruits are usually not infected.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reported to be a serious pathogen of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in the Far East. It is also, on its alternate host, one of the most important and widely distributed fungal pathogen of urban ornamentals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in China (Zhang, 1990). There is no indication that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any practical importance in North America, nor that it causes significant disease of any rosaceous host other than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some other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some success against</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has been achieved with sterol-inhibiting fungicides, e.g. myclobutanil (Lee, 1990b). In Japan,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mentioned among the most important target pests for a new triazole fungicide (Ohyama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Differences in susceptibility of</w:t>
      </w:r>
      <w:r>
        <w:rPr>
          <w:rFonts w:ascii="Calibri" w:hAnsi="Calibri" w:eastAsia="Calibri" w:cs="Calibri"/>
          <w:i/>
          <w:iCs/>
          <w:color w:val="000000"/>
          <w:sz w:val="22"/>
          <w:szCs w:val="22"/>
        </w:rPr>
        <w:t xml:space="preserve"> P. pyrifolia</w:t>
      </w:r>
      <w:r>
        <w:rPr>
          <w:rFonts w:ascii="Calibri" w:hAnsi="Calibri" w:eastAsia="Calibri" w:cs="Calibri"/>
          <w:color w:val="000000"/>
          <w:sz w:val="22"/>
          <w:szCs w:val="22"/>
        </w:rPr>
        <w:t xml:space="preserve"> cultivar are known. Suppression of the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within a certain radius of orchards is recommended, but may be difficult as it is often present in private gardens. Several research projects revealed that mycoparasites, such as </w:t>
      </w:r>
      <w:r>
        <w:rPr>
          <w:rFonts w:ascii="Calibri" w:hAnsi="Calibri" w:eastAsia="Calibri" w:cs="Calibri"/>
          <w:i/>
          <w:iCs/>
          <w:color w:val="000000"/>
          <w:sz w:val="22"/>
          <w:szCs w:val="22"/>
        </w:rPr>
        <w:t xml:space="preserve">Tuberculina </w:t>
      </w:r>
      <w:r>
        <w:rPr>
          <w:rFonts w:ascii="Calibri" w:hAnsi="Calibri" w:eastAsia="Calibri" w:cs="Calibri"/>
          <w:color w:val="000000"/>
          <w:sz w:val="22"/>
          <w:szCs w:val="22"/>
        </w:rPr>
        <w:t xml:space="preserve">sp., can occur on or nearby the aecia by the sporodochia and can eliminate the aeciospores before the dispersion to </w:t>
      </w:r>
      <w:r>
        <w:rPr>
          <w:rFonts w:ascii="Calibri" w:hAnsi="Calibri" w:eastAsia="Calibri" w:cs="Calibri"/>
          <w:i/>
          <w:iCs/>
          <w:color w:val="000000"/>
          <w:sz w:val="22"/>
          <w:szCs w:val="22"/>
        </w:rPr>
        <w:t xml:space="preserve">Juniper </w:t>
      </w:r>
      <w:r>
        <w:rPr>
          <w:rFonts w:ascii="Calibri" w:hAnsi="Calibri" w:eastAsia="Calibri" w:cs="Calibri"/>
          <w:color w:val="000000"/>
          <w:sz w:val="22"/>
          <w:szCs w:val="22"/>
        </w:rPr>
        <w:t xml:space="preserve">species (Huang, 1993).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one of the non-European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included in the EPPO A2 List (EPPO, 2022). At present,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absent from most of the EPPO region (only recorded in the Russian Far East) and has occasionally been intercepted in trade on bonsai plants from Asia. It is highly probably that it could establish in Europe since its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does occur. In addition,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seems to be a more damaging species on its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in the Far East, than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in the EPPO region. However, several factors are probably limiting the risk: 1)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though recorded as a host, does not appear to suffer significant damage; 2) the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is a minor crop in the EPPO region; 3)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easily controlled and these control measures applied in pear orchards would probably be effective against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4) the need for specific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(grown only as ornamentals in Europe) to complete the life cycle could in practice severely limit the area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infection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is systemic in stems and evergreen leaves, no chemical treatment is likely to be completely effective to treat imported plants found to be infected. It is most unlikely that infection from the telial stage could be carried on packing materials and the risk is virtually confined to infected plants. Countries may prohibit importation of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If plants for planting of </w:t>
      </w:r>
      <w:r>
        <w:rPr>
          <w:rFonts w:ascii="Calibri" w:hAnsi="Calibri" w:eastAsia="Calibri" w:cs="Calibri"/>
          <w:i/>
          <w:iCs/>
          <w:color w:val="000000"/>
          <w:sz w:val="22"/>
          <w:szCs w:val="22"/>
        </w:rPr>
        <w:t xml:space="preserve">J. chinensis </w:t>
      </w:r>
      <w:r>
        <w:rPr>
          <w:rFonts w:ascii="Calibri" w:hAnsi="Calibri" w:eastAsia="Calibri" w:cs="Calibri"/>
          <w:color w:val="000000"/>
          <w:sz w:val="22"/>
          <w:szCs w:val="22"/>
        </w:rPr>
        <w:t xml:space="preserve">(or other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are imported from the Far East, the consignment should be kept in quarantine over the growing season and found free from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should come from a field (and its immediate vicinity) found free from diseases caused by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during the last two growing seasons. Particular attention should also be paid to imports of juniper bonsais from Asia, and these plants should have been produced under conditions ensuring their freedom from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Fruits, seedlings, and cut branches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from the Far East, especially from China, Japan and South Korea, should be inspected to avoid the introduction of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to European regions, where Asian pears, Asian apples and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species have been promoted for commercial production and ornamental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(2006) Toward resolving family-level relationships in rust fungi (</w:t>
      </w:r>
      <w:r>
        <w:rPr>
          <w:rFonts w:ascii="Calibri" w:hAnsi="Calibri" w:eastAsia="Calibri" w:cs="Calibri"/>
          <w:i/>
          <w:iCs/>
          <w:color w:val="000000"/>
          <w:sz w:val="22"/>
          <w:szCs w:val="22"/>
        </w:rPr>
        <w:t xml:space="preserve">Uredinales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112–122.</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w:t>
      </w:r>
    </w:p>
    <w:p>
      <w:pPr>
        <w:widowControl w:val="on"/>
        <w:pBdr/>
        <w:spacing w:before="220" w:after="220" w:line="240" w:lineRule="auto"/>
        <w:ind w:left="0" w:right="0"/>
        <w:jc w:val="left"/>
      </w:pPr>
      <w:r>
        <w:rPr>
          <w:rFonts w:ascii="Calibri" w:hAnsi="Calibri" w:eastAsia="Calibri" w:cs="Calibri"/>
          <w:color w:val="000000"/>
          <w:sz w:val="22"/>
          <w:szCs w:val="22"/>
        </w:rPr>
        <w:t xml:space="preserve">Aldwinckle HS (1990) Rust diseases.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pp. 10-14.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Azbukina ZM (1984) </w:t>
      </w:r>
      <w:r>
        <w:rPr>
          <w:rFonts w:ascii="Calibri" w:hAnsi="Calibri" w:eastAsia="Calibri" w:cs="Calibri"/>
          <w:i/>
          <w:iCs/>
          <w:color w:val="000000"/>
          <w:sz w:val="22"/>
          <w:szCs w:val="22"/>
        </w:rPr>
        <w:t xml:space="preserve">Classification key of rust fungi (Uredinales) of the Soviet Far East</w:t>
      </w:r>
      <w:r>
        <w:rPr>
          <w:rFonts w:ascii="Calibri" w:hAnsi="Calibri" w:eastAsia="Calibri" w:cs="Calibri"/>
          <w:color w:val="000000"/>
          <w:sz w:val="22"/>
          <w:szCs w:val="22"/>
        </w:rPr>
        <w:t xml:space="preserve">. Nauka,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w:t>
      </w:r>
      <w:r>
        <w:rPr>
          <w:rFonts w:ascii="Calibri" w:hAnsi="Calibri" w:eastAsia="Calibri" w:cs="Calibri"/>
          <w:i/>
          <w:iCs/>
          <w:color w:val="000000"/>
          <w:sz w:val="22"/>
          <w:szCs w:val="22"/>
        </w:rPr>
        <w:t xml:space="preserve">Illustrated genera of rust fungi</w:t>
      </w:r>
      <w:r>
        <w:rPr>
          <w:rFonts w:ascii="Calibri" w:hAnsi="Calibri" w:eastAsia="Calibri" w:cs="Calibri"/>
          <w:color w:val="000000"/>
          <w:sz w:val="22"/>
          <w:szCs w:val="22"/>
        </w:rPr>
        <w:t xml:space="preserve">. 3rd ed. American Phytopathological Society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Gymnosporangium yamadae.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and A2 lists of pests recommended for regulation as quarantine pests. Available online: https://www.eppo.int/ACTIVITIES/plant_quarantine/A2_list.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Duan WJ, Cai L, Lu Y &amp; Zhao P (2020) Quarantine identification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31–35.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M-A, Jaques Miret JA, Justesen AF, MacLeod A, Magnusson CS, Milonas P, Navas-Cortes JA, Parnell S, Potting R, Reignault PL, Thulke H-H, Van der Werf W, Vicent Civera A, Yuen J, Zappalà L, Boberg J, Jeger M, Pautasso M &amp; Dehnen-Schmutz K (2018) Scientific Opinion on the pest categorisation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12), 5512, 28 pp. </w:t>
      </w:r>
      <w:hyperlink r:id="rId277169ced1f9c07cc" w:history="1">
        <w:r>
          <w:rPr>
            <w:rFonts w:ascii="Calibri" w:hAnsi="Calibri" w:eastAsia="Calibri" w:cs="Calibri"/>
            <w:color w:val="0000CC"/>
            <w:sz w:val="22"/>
            <w:szCs w:val="22"/>
            <w:u w:val="single"/>
          </w:rPr>
          <w:t xml:space="preserve">https://doi.org/10.2903/j.efsa.2018.5512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EPPO Standard PM 7/73(1).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441-446. Available from </w:t>
      </w:r>
      <w:hyperlink r:id="rId560069ced1f9c085a"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Henderson DM (2000) </w:t>
      </w:r>
      <w:r>
        <w:rPr>
          <w:rFonts w:ascii="Calibri" w:hAnsi="Calibri" w:eastAsia="Calibri" w:cs="Calibri"/>
          <w:i/>
          <w:iCs/>
          <w:color w:val="000000"/>
          <w:sz w:val="22"/>
          <w:szCs w:val="22"/>
        </w:rPr>
        <w:t xml:space="preserve">Checklist of the Rust Fungi of the British Isles</w:t>
      </w:r>
      <w:r>
        <w:rPr>
          <w:rFonts w:ascii="Calibri" w:hAnsi="Calibri" w:eastAsia="Calibri" w:cs="Calibri"/>
          <w:color w:val="000000"/>
          <w:sz w:val="22"/>
          <w:szCs w:val="22"/>
        </w:rPr>
        <w:t xml:space="preserve">. British Mycological Society,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&amp; Hiratsuka N (1980) Morphology of spermogonia and taxonomy of rust fungi.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Sato S, Katsuya K, Kakishima M, Hiratsuka Y, Kaneko S, Ono Y, Sato T, Harada Y, Hiratsuka T &amp; Nakayama K (1992) </w:t>
      </w:r>
      <w:r>
        <w:rPr>
          <w:rFonts w:ascii="Calibri" w:hAnsi="Calibri" w:eastAsia="Calibri" w:cs="Calibri"/>
          <w:i/>
          <w:iCs/>
          <w:color w:val="000000"/>
          <w:sz w:val="22"/>
          <w:szCs w:val="22"/>
        </w:rPr>
        <w:t xml:space="preserve">The rust flora of Japan</w:t>
      </w:r>
      <w:r>
        <w:rPr>
          <w:rFonts w:ascii="Calibri" w:hAnsi="Calibri" w:eastAsia="Calibri" w:cs="Calibri"/>
          <w:color w:val="000000"/>
          <w:sz w:val="22"/>
          <w:szCs w:val="22"/>
        </w:rPr>
        <w:t xml:space="preserve">. Tsukuba Shuppankai, Tsukuba, Ibaraki, Japan, 465–483.</w:t>
      </w:r>
    </w:p>
    <w:p>
      <w:pPr>
        <w:widowControl w:val="on"/>
        <w:pBdr/>
        <w:spacing w:before="220" w:after="220" w:line="240" w:lineRule="auto"/>
        <w:ind w:left="0" w:right="0"/>
        <w:jc w:val="left"/>
      </w:pPr>
      <w:r>
        <w:rPr>
          <w:rFonts w:ascii="Calibri" w:hAnsi="Calibri" w:eastAsia="Calibri" w:cs="Calibri"/>
          <w:color w:val="000000"/>
          <w:sz w:val="22"/>
          <w:szCs w:val="22"/>
        </w:rPr>
        <w:t xml:space="preserve">Huang Y (1993) Studies on the pear gall rust with a rust parasite and its application: 1. Parasitical and morphological characteristics of rust parasite.</w:t>
      </w:r>
      <w:r>
        <w:rPr>
          <w:rFonts w:ascii="Calibri" w:hAnsi="Calibri" w:eastAsia="Calibri" w:cs="Calibri"/>
          <w:i/>
          <w:iCs/>
          <w:color w:val="000000"/>
          <w:sz w:val="22"/>
          <w:szCs w:val="22"/>
        </w:rPr>
        <w:t xml:space="preserve"> Journal of Sichuan Agricultural University </w:t>
      </w:r>
      <w:r>
        <w:rPr>
          <w:rFonts w:ascii="Calibri" w:hAnsi="Calibri" w:eastAsia="Calibri" w:cs="Calibri"/>
          <w:color w:val="000000"/>
          <w:sz w:val="22"/>
          <w:szCs w:val="22"/>
        </w:rPr>
        <w:t xml:space="preserve">11(2),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(1992)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530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(1950) </w:t>
      </w:r>
      <w:r>
        <w:rPr>
          <w:rFonts w:ascii="Calibri" w:hAnsi="Calibri" w:eastAsia="Calibri" w:cs="Calibri"/>
          <w:i/>
          <w:iCs/>
          <w:color w:val="000000"/>
          <w:sz w:val="22"/>
          <w:szCs w:val="22"/>
        </w:rPr>
        <w:t xml:space="preserve">Mycological Flora of Japan, Vol. 2 </w:t>
      </w:r>
      <w:r>
        <w:rPr>
          <w:rFonts w:ascii="Calibri" w:hAnsi="Calibri" w:eastAsia="Calibri" w:cs="Calibri"/>
          <w:color w:val="000000"/>
          <w:sz w:val="22"/>
          <w:szCs w:val="22"/>
        </w:rPr>
        <w:t xml:space="preserve">Basidiomycetes</w:t>
      </w:r>
      <w:r>
        <w:rPr>
          <w:rFonts w:ascii="Calibri" w:hAnsi="Calibri" w:eastAsia="Calibri" w:cs="Calibri"/>
          <w:i/>
          <w:iCs/>
          <w:color w:val="000000"/>
          <w:sz w:val="22"/>
          <w:szCs w:val="22"/>
        </w:rPr>
        <w:t xml:space="preserve">, N0.3</w:t>
      </w:r>
      <w:r>
        <w:rPr>
          <w:rFonts w:ascii="Calibri" w:hAnsi="Calibri" w:eastAsia="Calibri" w:cs="Calibri"/>
          <w:color w:val="000000"/>
          <w:sz w:val="22"/>
          <w:szCs w:val="22"/>
        </w:rPr>
        <w:t xml:space="preserve"> Uredinales-Pucciniaceae, Uredinales Imperfecti. Yokendo,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(1911) </w:t>
      </w:r>
      <w:r>
        <w:rPr>
          <w:rFonts w:ascii="Calibri" w:hAnsi="Calibri" w:eastAsia="Calibri" w:cs="Calibri"/>
          <w:i/>
          <w:iCs/>
          <w:color w:val="000000"/>
          <w:sz w:val="22"/>
          <w:szCs w:val="22"/>
        </w:rPr>
        <w:t xml:space="preserve">A Biological and Taxonomic Studies of the Genus </w:t>
      </w:r>
      <w:r>
        <w:rPr>
          <w:rFonts w:ascii="Calibri" w:hAnsi="Calibri" w:eastAsia="Calibri" w:cs="Calibri"/>
          <w:color w:val="000000"/>
          <w:sz w:val="22"/>
          <w:szCs w:val="22"/>
        </w:rPr>
        <w:t xml:space="preserve">Gymnosporangium. The New Era Pringing Company, Lancaster,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(1973) </w:t>
      </w:r>
      <w:r>
        <w:rPr>
          <w:rFonts w:ascii="Calibri" w:hAnsi="Calibri" w:eastAsia="Calibri" w:cs="Calibri"/>
          <w:i/>
          <w:iCs/>
          <w:color w:val="000000"/>
          <w:sz w:val="22"/>
          <w:szCs w:val="22"/>
        </w:rPr>
        <w:t xml:space="preserve">A revised taxonomic account of </w:t>
      </w:r>
      <w:r>
        <w:rPr>
          <w:rFonts w:ascii="Calibri" w:hAnsi="Calibri" w:eastAsia="Calibri" w:cs="Calibri"/>
          <w:color w:val="000000"/>
          <w:sz w:val="22"/>
          <w:szCs w:val="22"/>
        </w:rPr>
        <w:t xml:space="preserve">Gymnosporangium, 134 pp. Penn State University Press, USA.</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 (1977)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541.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(1990a) Studies on the several factors in relation to pear rust infection caused by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(1990b) Protective and curative effects of ergosterol biosynthesis inhibitors against pear rust.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343-351.</w:t>
      </w:r>
    </w:p>
    <w:p>
      <w:pPr>
        <w:widowControl w:val="on"/>
        <w:pBdr/>
        <w:spacing w:before="220" w:after="220" w:line="240" w:lineRule="auto"/>
        <w:ind w:left="0" w:right="0"/>
        <w:jc w:val="left"/>
      </w:pPr>
      <w:r>
        <w:rPr>
          <w:rFonts w:ascii="Calibri" w:hAnsi="Calibri" w:eastAsia="Calibri" w:cs="Calibri"/>
          <w:color w:val="000000"/>
          <w:sz w:val="22"/>
          <w:szCs w:val="22"/>
        </w:rPr>
        <w:t xml:space="preserve">Miyabe K (1903) On Japanese species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Ohyama H, Wada T, Ishikawa H &amp; Chiba K (1988) HF-6305, a new triazole fungicide. In: </w:t>
      </w:r>
      <w:r>
        <w:rPr>
          <w:rFonts w:ascii="Calibri" w:hAnsi="Calibri" w:eastAsia="Calibri" w:cs="Calibri"/>
          <w:i/>
          <w:iCs/>
          <w:color w:val="000000"/>
          <w:sz w:val="22"/>
          <w:szCs w:val="22"/>
        </w:rPr>
        <w:t xml:space="preserve">Brighton Crop Protection Conference. Pests and Diseases - 1988</w:t>
      </w:r>
      <w:r>
        <w:rPr>
          <w:rFonts w:ascii="Calibri" w:hAnsi="Calibri" w:eastAsia="Calibri" w:cs="Calibri"/>
          <w:color w:val="000000"/>
          <w:sz w:val="22"/>
          <w:szCs w:val="22"/>
        </w:rPr>
        <w:t xml:space="preserve">, pp. 519-526.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Studies of juniper rusts. </w:t>
      </w:r>
      <w:r>
        <w:rPr>
          <w:rFonts w:ascii="Calibri" w:hAnsi="Calibri" w:eastAsia="Calibri" w:cs="Calibri"/>
          <w:i/>
          <w:iCs/>
          <w:color w:val="000000"/>
          <w:sz w:val="22"/>
          <w:szCs w:val="22"/>
        </w:rPr>
        <w:t xml:space="preserve">The West Madrono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79-91.</w:t>
      </w:r>
    </w:p>
    <w:p>
      <w:pPr>
        <w:widowControl w:val="on"/>
        <w:pBdr/>
        <w:spacing w:before="220" w:after="220" w:line="240" w:lineRule="auto"/>
        <w:ind w:left="0" w:right="0"/>
        <w:jc w:val="left"/>
      </w:pPr>
      <w:r>
        <w:rPr>
          <w:rFonts w:ascii="Calibri" w:hAnsi="Calibri" w:eastAsia="Calibri" w:cs="Calibri"/>
          <w:color w:val="000000"/>
          <w:sz w:val="22"/>
          <w:szCs w:val="22"/>
        </w:rPr>
        <w:t xml:space="preserve">Shen YM, Chung WH, Huang TC, Rodeva R &amp; Huang TH (2018) Unveiling </w:t>
      </w:r>
      <w:r>
        <w:rPr>
          <w:rFonts w:ascii="Calibri" w:hAnsi="Calibri" w:eastAsia="Calibri" w:cs="Calibri"/>
          <w:i/>
          <w:iCs/>
          <w:color w:val="000000"/>
          <w:sz w:val="22"/>
          <w:szCs w:val="22"/>
        </w:rPr>
        <w:t xml:space="preserve">Gymnosporangium corniforme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niitakayamense sp. nov</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218–228.</w:t>
      </w:r>
    </w:p>
    <w:p>
      <w:pPr>
        <w:widowControl w:val="on"/>
        <w:pBdr/>
        <w:spacing w:before="220" w:after="220" w:line="240" w:lineRule="auto"/>
        <w:ind w:left="0" w:right="0"/>
        <w:jc w:val="left"/>
      </w:pPr>
      <w:r>
        <w:rPr>
          <w:rFonts w:ascii="Calibri" w:hAnsi="Calibri" w:eastAsia="Calibri" w:cs="Calibri"/>
          <w:color w:val="000000"/>
          <w:sz w:val="22"/>
          <w:szCs w:val="22"/>
        </w:rPr>
        <w:t xml:space="preserve">Sydow H &amp; Sydow P (1912) Novae fungorum species. VIII.</w:t>
      </w:r>
      <w:r>
        <w:rPr>
          <w:rFonts w:ascii="Calibri" w:hAnsi="Calibri" w:eastAsia="Calibri" w:cs="Calibri"/>
          <w:i/>
          <w:iCs/>
          <w:color w:val="000000"/>
          <w:sz w:val="22"/>
          <w:szCs w:val="22"/>
        </w:rPr>
        <w:t xml:space="preserve"> Annales Mycologici</w:t>
      </w:r>
      <w:r>
        <w:rPr>
          <w:rFonts w:ascii="Calibri" w:hAnsi="Calibri" w:eastAsia="Calibri" w:cs="Calibri"/>
          <w:color w:val="000000"/>
          <w:sz w:val="22"/>
          <w:szCs w:val="22"/>
        </w:rPr>
        <w:t xml:space="preserve"> 10: 405–410.</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(1933) Pear rust caused by </w:t>
      </w:r>
      <w:r>
        <w:rPr>
          <w:rFonts w:ascii="Calibri" w:hAnsi="Calibri" w:eastAsia="Calibri" w:cs="Calibri"/>
          <w:i/>
          <w:iCs/>
          <w:color w:val="000000"/>
          <w:sz w:val="22"/>
          <w:szCs w:val="22"/>
        </w:rPr>
        <w:t xml:space="preserve">Gymnosporangium haraeanum</w:t>
      </w:r>
      <w:r>
        <w:rPr>
          <w:rFonts w:ascii="Calibri" w:hAnsi="Calibri" w:eastAsia="Calibri" w:cs="Calibri"/>
          <w:color w:val="000000"/>
          <w:sz w:val="22"/>
          <w:szCs w:val="22"/>
        </w:rPr>
        <w:t xml:space="preserve"> and its control.</w:t>
      </w:r>
      <w:r>
        <w:rPr>
          <w:rFonts w:ascii="Calibri" w:hAnsi="Calibri" w:eastAsia="Calibri" w:cs="Calibri"/>
          <w:i/>
          <w:iCs/>
          <w:color w:val="000000"/>
          <w:sz w:val="22"/>
          <w:szCs w:val="22"/>
        </w:rPr>
        <w:t xml:space="preserve"> Nanking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(1979) </w:t>
      </w:r>
      <w:r>
        <w:rPr>
          <w:rFonts w:ascii="Calibri" w:hAnsi="Calibri" w:eastAsia="Calibri" w:cs="Calibri"/>
          <w:i/>
          <w:iCs/>
          <w:color w:val="000000"/>
          <w:sz w:val="22"/>
          <w:szCs w:val="22"/>
        </w:rPr>
        <w:t xml:space="preserve">Sylloge Fungorum Sinicorum</w:t>
      </w:r>
      <w:r>
        <w:rPr>
          <w:rFonts w:ascii="Calibri" w:hAnsi="Calibri" w:eastAsia="Calibri" w:cs="Calibri"/>
          <w:color w:val="000000"/>
          <w:sz w:val="22"/>
          <w:szCs w:val="22"/>
        </w:rPr>
        <w:t xml:space="preserve"> (in Chinese). Science Press, Beijing, China.</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T (1922) New Japanese fungi. Notes and translations XII.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282–287.</w:t>
      </w:r>
    </w:p>
    <w:p>
      <w:pPr>
        <w:widowControl w:val="on"/>
        <w:pBdr/>
        <w:spacing w:before="220" w:after="220" w:line="240" w:lineRule="auto"/>
        <w:ind w:left="0" w:right="0"/>
        <w:jc w:val="left"/>
      </w:pPr>
      <w:r>
        <w:rPr>
          <w:rFonts w:ascii="Calibri" w:hAnsi="Calibri" w:eastAsia="Calibri" w:cs="Calibri"/>
          <w:color w:val="000000"/>
          <w:sz w:val="22"/>
          <w:szCs w:val="22"/>
        </w:rPr>
        <w:t xml:space="preserve">Unemoto S, Murata A &amp; Nagai Y (1989) Dispersal of Japanese pear rust fungus,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Annals of the Phytopathological Society of Japan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Wang K, Bai JK, Li DH &amp; Deng GY (1993) Identification and biological characteristics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crataegicola</w:t>
      </w:r>
      <w:r>
        <w:rPr>
          <w:rFonts w:ascii="Calibri" w:hAnsi="Calibri" w:eastAsia="Calibri" w:cs="Calibri"/>
          <w:color w:val="000000"/>
          <w:sz w:val="22"/>
          <w:szCs w:val="22"/>
        </w:rPr>
        <w:t xml:space="preserve"> infecting hawthorn.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187–192.</w:t>
      </w:r>
    </w:p>
    <w:p>
      <w:pPr>
        <w:widowControl w:val="on"/>
        <w:pBdr/>
        <w:spacing w:before="220" w:after="220" w:line="240" w:lineRule="auto"/>
        <w:ind w:left="0" w:right="0"/>
        <w:jc w:val="left"/>
      </w:pPr>
      <w:r>
        <w:rPr>
          <w:rFonts w:ascii="Calibri" w:hAnsi="Calibri" w:eastAsia="Calibri" w:cs="Calibri"/>
          <w:color w:val="000000"/>
          <w:sz w:val="22"/>
          <w:szCs w:val="22"/>
        </w:rPr>
        <w:t xml:space="preserve">Wang YC &amp; Guo L (1985) Taxonomic studies on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China.</w:t>
      </w:r>
      <w:r>
        <w:rPr>
          <w:rFonts w:ascii="Calibri" w:hAnsi="Calibri" w:eastAsia="Calibri" w:cs="Calibri"/>
          <w:i/>
          <w:iCs/>
          <w:color w:val="000000"/>
          <w:sz w:val="22"/>
          <w:szCs w:val="22"/>
        </w:rPr>
        <w:t xml:space="preserve"> Acta Mycologica Sinica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24–34. </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G (1904) Red-spot disease of apples. In: Omori J, Yamada G (eds), </w:t>
      </w:r>
      <w:r>
        <w:rPr>
          <w:rFonts w:ascii="Calibri" w:hAnsi="Calibri" w:eastAsia="Calibri" w:cs="Calibri"/>
          <w:i/>
          <w:iCs/>
          <w:color w:val="000000"/>
          <w:sz w:val="22"/>
          <w:szCs w:val="22"/>
        </w:rPr>
        <w:t xml:space="preserve">Text-book of plant pathology</w:t>
      </w:r>
      <w:r>
        <w:rPr>
          <w:rFonts w:ascii="Calibri" w:hAnsi="Calibri" w:eastAsia="Calibri" w:cs="Calibri"/>
          <w:color w:val="000000"/>
          <w:sz w:val="22"/>
          <w:szCs w:val="22"/>
        </w:rPr>
        <w:t xml:space="preserve">. Japan, 306–308. </w:t>
      </w:r>
    </w:p>
    <w:p>
      <w:pPr>
        <w:widowControl w:val="on"/>
        <w:pBdr/>
        <w:spacing w:before="220" w:after="220" w:line="240" w:lineRule="auto"/>
        <w:ind w:left="0" w:right="0"/>
        <w:jc w:val="left"/>
      </w:pPr>
      <w:r>
        <w:rPr>
          <w:rFonts w:ascii="Calibri" w:hAnsi="Calibri" w:eastAsia="Calibri" w:cs="Calibri"/>
          <w:color w:val="000000"/>
          <w:sz w:val="22"/>
          <w:szCs w:val="22"/>
        </w:rPr>
        <w:t xml:space="preserve">Yun HY, Hong SG, Rossman AY, Lee SK, Lee KJ &amp; Bae KS (2009) The rust fungus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Korea including two new species,</w:t>
      </w:r>
      <w:r>
        <w:rPr>
          <w:rFonts w:ascii="Calibri" w:hAnsi="Calibri" w:eastAsia="Calibri" w:cs="Calibri"/>
          <w:i/>
          <w:iCs/>
          <w:color w:val="000000"/>
          <w:sz w:val="22"/>
          <w:szCs w:val="22"/>
        </w:rPr>
        <w:t xml:space="preserve"> G. monticola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790–809.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NT (1990) Report of a national survey on diseases of urban ornamental plants.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Wang Q, Cai L (2016) Inferring phylogeny and speciation of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and their coevolution with host plants. </w:t>
      </w:r>
      <w:r>
        <w:rPr>
          <w:rFonts w:ascii="Calibri" w:hAnsi="Calibri" w:eastAsia="Calibri" w:cs="Calibri"/>
          <w:i/>
          <w:iCs/>
          <w:color w:val="000000"/>
          <w:sz w:val="22"/>
          <w:szCs w:val="22"/>
        </w:rPr>
        <w:t xml:space="preserve">Sci</w:t>
      </w:r>
      <w:r>
        <w:rPr>
          <w:rFonts w:ascii="Calibri" w:hAnsi="Calibri" w:eastAsia="Calibri" w:cs="Calibri"/>
          <w:i/>
          <w:iCs/>
          <w:color w:val="000000"/>
          <w:sz w:val="22"/>
          <w:szCs w:val="22"/>
        </w:rPr>
        <w:t xml:space="preserve">entific</w:t>
      </w:r>
      <w:r>
        <w:rPr>
          <w:rFonts w:ascii="Calibri" w:hAnsi="Calibri" w:eastAsia="Calibri" w:cs="Calibri"/>
          <w:i/>
          <w:iCs/>
          <w:color w:val="000000"/>
          <w:sz w:val="22"/>
          <w:szCs w:val="22"/>
        </w:rPr>
        <w:t xml:space="preserve"> Rep</w:t>
      </w:r>
      <w:r>
        <w:rPr>
          <w:rFonts w:ascii="Calibri" w:hAnsi="Calibri" w:eastAsia="Calibri" w:cs="Calibri"/>
          <w:i/>
          <w:iCs/>
          <w:color w:val="000000"/>
          <w:sz w:val="22"/>
          <w:szCs w:val="22"/>
        </w:rPr>
        <w:t xml:space="preserve">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29339.</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Qi XH, Crous PW, Duan WJ &amp; Cai L (2020)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species delineation, diversity and host alternation.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68–100.</w:t>
      </w:r>
    </w:p>
    <w:p>
      <w:pPr>
        <w:widowControl w:val="on"/>
        <w:pBdr/>
        <w:spacing w:before="220" w:after="220" w:line="240" w:lineRule="auto"/>
        <w:ind w:left="0" w:right="0"/>
        <w:jc w:val="left"/>
      </w:pPr>
      <w:r>
        <w:rPr>
          <w:rFonts w:ascii="Calibri" w:hAnsi="Calibri" w:eastAsia="Calibri" w:cs="Calibri"/>
          <w:color w:val="000000"/>
          <w:sz w:val="22"/>
          <w:szCs w:val="22"/>
        </w:rPr>
        <w:t xml:space="preserve">Zhuang JY, Wei SX &amp; Wang YC (2012) </w:t>
      </w:r>
      <w:r>
        <w:rPr>
          <w:rFonts w:ascii="Calibri" w:hAnsi="Calibri" w:eastAsia="Calibri" w:cs="Calibri"/>
          <w:i/>
          <w:iCs/>
          <w:color w:val="000000"/>
          <w:sz w:val="22"/>
          <w:szCs w:val="22"/>
        </w:rPr>
        <w:t xml:space="preserve">Flora fungorum sinicorum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Vol. 41.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Uredinales IV</w:t>
      </w:r>
      <w:r>
        <w:rPr>
          <w:rFonts w:ascii="Calibri" w:hAnsi="Calibri" w:eastAsia="Calibri" w:cs="Calibri"/>
          <w:color w:val="000000"/>
          <w:sz w:val="22"/>
          <w:szCs w:val="22"/>
        </w:rPr>
        <w:t xml:space="preserve">. Beijing, China: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pp. 120-121. Environment Canada Forestry Service, Ottawa,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Peng Zhao and Dr. Lei Cai from the State Key Laboratory of Mycology, Institute of Microbiology, Chinese Academy of Sciences.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EPPO datasheets on pests recommended for regulation. Available online. </w:t>
      </w:r>
      <w:hyperlink r:id="rId838269ced1f9c20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13,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 pp. </w:t>
      </w:r>
      <w:hyperlink r:id="rId740569ced1f9c225d" w:history="1">
        <w:r>
          <w:rPr>
            <w:rFonts w:ascii="Calibri" w:hAnsi="Calibri" w:eastAsia="Calibri" w:cs="Calibri"/>
            <w:color w:val="0000CC"/>
            <w:sz w:val="22"/>
            <w:szCs w:val="22"/>
            <w:u w:val="single"/>
          </w:rPr>
          <w:t xml:space="preserve">https://doi.org/10.1111/j.1365-2338.1983.tb01713.x</w:t>
        </w:r>
      </w:hyperlink>
    </w:p>
    <w:p>
      <w:r>
        <w:drawing>
          <wp:inline distT="0" distB="0" distL="0" distR="0">
            <wp:extent cx="1800000" cy="604800"/>
            <wp:docPr id="74438719" name="name979469ced1f9c241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2569ced1f9c24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941896">
    <w:multiLevelType w:val="hybridMultilevel"/>
    <w:lvl w:ilvl="0" w:tplc="14714008">
      <w:start w:val="1"/>
      <w:numFmt w:val="decimal"/>
      <w:lvlText w:val="%1."/>
      <w:lvlJc w:val="left"/>
      <w:pPr>
        <w:ind w:left="720" w:hanging="360"/>
      </w:pPr>
    </w:lvl>
    <w:lvl w:ilvl="1" w:tplc="14714008" w:tentative="1">
      <w:start w:val="1"/>
      <w:numFmt w:val="lowerLetter"/>
      <w:lvlText w:val="%2."/>
      <w:lvlJc w:val="left"/>
      <w:pPr>
        <w:ind w:left="1440" w:hanging="360"/>
      </w:pPr>
    </w:lvl>
    <w:lvl w:ilvl="2" w:tplc="14714008" w:tentative="1">
      <w:start w:val="1"/>
      <w:numFmt w:val="lowerRoman"/>
      <w:lvlText w:val="%3."/>
      <w:lvlJc w:val="right"/>
      <w:pPr>
        <w:ind w:left="2160" w:hanging="180"/>
      </w:pPr>
    </w:lvl>
    <w:lvl w:ilvl="3" w:tplc="14714008" w:tentative="1">
      <w:start w:val="1"/>
      <w:numFmt w:val="decimal"/>
      <w:lvlText w:val="%4."/>
      <w:lvlJc w:val="left"/>
      <w:pPr>
        <w:ind w:left="2880" w:hanging="360"/>
      </w:pPr>
    </w:lvl>
    <w:lvl w:ilvl="4" w:tplc="14714008" w:tentative="1">
      <w:start w:val="1"/>
      <w:numFmt w:val="lowerLetter"/>
      <w:lvlText w:val="%5."/>
      <w:lvlJc w:val="left"/>
      <w:pPr>
        <w:ind w:left="3600" w:hanging="360"/>
      </w:pPr>
    </w:lvl>
    <w:lvl w:ilvl="5" w:tplc="14714008" w:tentative="1">
      <w:start w:val="1"/>
      <w:numFmt w:val="lowerRoman"/>
      <w:lvlText w:val="%6."/>
      <w:lvlJc w:val="right"/>
      <w:pPr>
        <w:ind w:left="4320" w:hanging="180"/>
      </w:pPr>
    </w:lvl>
    <w:lvl w:ilvl="6" w:tplc="14714008" w:tentative="1">
      <w:start w:val="1"/>
      <w:numFmt w:val="decimal"/>
      <w:lvlText w:val="%7."/>
      <w:lvlJc w:val="left"/>
      <w:pPr>
        <w:ind w:left="5040" w:hanging="360"/>
      </w:pPr>
    </w:lvl>
    <w:lvl w:ilvl="7" w:tplc="14714008" w:tentative="1">
      <w:start w:val="1"/>
      <w:numFmt w:val="lowerLetter"/>
      <w:lvlText w:val="%8."/>
      <w:lvlJc w:val="left"/>
      <w:pPr>
        <w:ind w:left="5760" w:hanging="360"/>
      </w:pPr>
    </w:lvl>
    <w:lvl w:ilvl="8" w:tplc="14714008" w:tentative="1">
      <w:start w:val="1"/>
      <w:numFmt w:val="lowerRoman"/>
      <w:lvlText w:val="%9."/>
      <w:lvlJc w:val="right"/>
      <w:pPr>
        <w:ind w:left="6480" w:hanging="180"/>
      </w:pPr>
    </w:lvl>
  </w:abstractNum>
  <w:abstractNum w:abstractNumId="18941895">
    <w:multiLevelType w:val="hybridMultilevel"/>
    <w:lvl w:ilvl="0" w:tplc="661519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941895">
    <w:abstractNumId w:val="18941895"/>
  </w:num>
  <w:num w:numId="18941896">
    <w:abstractNumId w:val="189418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0262929" Type="http://schemas.microsoft.com/office/2011/relationships/commentsExtended" Target="commentsExtended.xml"/><Relationship Id="rId747628565" Type="http://schemas.microsoft.com/office/2011/relationships/people" Target="people.xml"/><Relationship Id="rId764769ced1f9bbf4b" Type="http://schemas.openxmlformats.org/officeDocument/2006/relationships/hyperlink" Target="https://gd.eppo.int/taxon/GYMNAS/" TargetMode="External"/><Relationship Id="rId255869ced1f9bbf95" Type="http://schemas.openxmlformats.org/officeDocument/2006/relationships/hyperlink" Target="https://gd.eppo.int/taxon/GYMNAS/categorization" TargetMode="External"/><Relationship Id="rId960269ced1f9bc77a" Type="http://schemas.openxmlformats.org/officeDocument/2006/relationships/hyperlink" Target="https://gd.eppo.int/taxon/GYMNAS/photos" TargetMode="External"/><Relationship Id="rId277169ced1f9c07cc" Type="http://schemas.openxmlformats.org/officeDocument/2006/relationships/hyperlink" Target="https://doi.org/10.2903/j.efsa.2018.5512" TargetMode="External"/><Relationship Id="rId560069ced1f9c085a" Type="http://schemas.openxmlformats.org/officeDocument/2006/relationships/hyperlink" Target="https://gd.eppo.int/standards/PM7/" TargetMode="External"/><Relationship Id="rId838269ced1f9c20f9" Type="http://schemas.openxmlformats.org/officeDocument/2006/relationships/hyperlink" Target="https://gd.eppo.int" TargetMode="External"/><Relationship Id="rId740569ced1f9c225d" Type="http://schemas.openxmlformats.org/officeDocument/2006/relationships/hyperlink" Target="https://doi.org/10.1111/j.1365-2338.1983.tb01713.x" TargetMode="External"/><Relationship Id="rId867169ced1f9bc604" Type="http://schemas.openxmlformats.org/officeDocument/2006/relationships/image" Target="media/imgrId867169ced1f9bc604.jpg"/><Relationship Id="rId749669ced1f9be968" Type="http://schemas.openxmlformats.org/officeDocument/2006/relationships/image" Target="media/imgrId749669ced1f9be968.jpg"/><Relationship Id="rId482569ced1f9c2419" Type="http://schemas.openxmlformats.org/officeDocument/2006/relationships/image" Target="media/imgrId482569ced1f9c24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