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Neofusicoccum laricinum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2021-12-15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Neofusicoccum laricinum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(Sawada) Y. Hattori &amp; C. Nakashima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Dothideomycetes: Botryosphaeriales: Botryosphaeriaceae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Botryosphaeria laricina</w:t>
            </w:r>
            <w:r>
              <w:rPr>
                <w:rFonts w:ascii="Calibri" w:hAnsi="Calibri" w:eastAsia="Calibri" w:cs="Calibri"/>
                <w:color w:val="000000"/>
                <w:position w:val="-3"/>
                <w:sz w:val="22"/>
                <w:szCs w:val="22"/>
              </w:rPr>
              <w:t xml:space="preserve"> (Sawada) Shang, </w:t>
            </w:r>
            <w:r>
              <w:rPr>
                <w:rFonts w:ascii="Calibri" w:hAnsi="Calibri" w:eastAsia="Calibri" w:cs="Calibri"/>
                <w:i/>
                <w:iCs/>
                <w:color w:val="000000"/>
                <w:position w:val="-3"/>
                <w:sz w:val="22"/>
                <w:szCs w:val="22"/>
              </w:rPr>
              <w:t xml:space="preserve">Guignardia laricina</w:t>
            </w:r>
            <w:r>
              <w:rPr>
                <w:rFonts w:ascii="Calibri" w:hAnsi="Calibri" w:eastAsia="Calibri" w:cs="Calibri"/>
                <w:color w:val="000000"/>
                <w:position w:val="-3"/>
                <w:sz w:val="22"/>
                <w:szCs w:val="22"/>
              </w:rPr>
              <w:t xml:space="preserve"> (Sawada) Yamamoto &amp; K.Ito, </w:t>
            </w:r>
            <w:r>
              <w:rPr>
                <w:rFonts w:ascii="Calibri" w:hAnsi="Calibri" w:eastAsia="Calibri" w:cs="Calibri"/>
                <w:i/>
                <w:iCs/>
                <w:color w:val="000000"/>
                <w:position w:val="-3"/>
                <w:sz w:val="22"/>
                <w:szCs w:val="22"/>
              </w:rPr>
              <w:t xml:space="preserve">Physalospora laricina</w:t>
            </w:r>
            <w:r>
              <w:rPr>
                <w:rFonts w:ascii="Calibri" w:hAnsi="Calibri" w:eastAsia="Calibri" w:cs="Calibri"/>
                <w:color w:val="000000"/>
                <w:position w:val="-3"/>
                <w:sz w:val="22"/>
                <w:szCs w:val="22"/>
              </w:rPr>
              <w:t xml:space="preserve"> Sawada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shoot blight of larch, twig die-back of larch</w:t>
            </w:r>
            <w:hyperlink r:id="rId5436699430fa5b04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2898699430fa5b0b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GUIGLA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5524417" name="name4751699430fa5b1d4" descr="8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68.jpg"/>
                          <pic:cNvPicPr/>
                        </pic:nvPicPr>
                        <pic:blipFill>
                          <a:blip r:embed="rId1488699430fa5b1d2" cstate="print"/>
                          <a:stretch>
                            <a:fillRect/>
                          </a:stretch>
                        </pic:blipFill>
                        <pic:spPr>
                          <a:xfrm>
                            <a:off x="0" y="0"/>
                            <a:ext cx="2160000" cy="1281600"/>
                          </a:xfrm>
                          <a:prstGeom prst="rect">
                            <a:avLst/>
                          </a:prstGeom>
                          <a:ln w="0">
                            <a:noFill/>
                          </a:ln>
                        </pic:spPr>
                      </pic:pic>
                    </a:graphicData>
                  </a:graphic>
                </wp:inline>
              </w:drawing>
            </w:r>
            <w:hyperlink r:id="rId9290699430fa5b312"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hosts of </w:t>
      </w:r>
      <w:r>
        <w:rPr>
          <w:rFonts w:ascii="Calibri" w:hAnsi="Calibri" w:eastAsia="Calibri" w:cs="Calibri"/>
          <w:i/>
          <w:iCs/>
          <w:color w:val="000000"/>
          <w:sz w:val="22"/>
          <w:szCs w:val="22"/>
        </w:rPr>
        <w:t xml:space="preserve">Neofusicoccum laricinum</w:t>
      </w:r>
      <w:r>
        <w:rPr>
          <w:rFonts w:ascii="Calibri" w:hAnsi="Calibri" w:eastAsia="Calibri" w:cs="Calibri"/>
          <w:color w:val="000000"/>
          <w:sz w:val="22"/>
          <w:szCs w:val="22"/>
        </w:rPr>
        <w:t xml:space="preserve"> are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spp. The most susceptible ones are </w:t>
      </w:r>
      <w:r>
        <w:rPr>
          <w:rFonts w:ascii="Calibri" w:hAnsi="Calibri" w:eastAsia="Calibri" w:cs="Calibri"/>
          <w:i/>
          <w:iCs/>
          <w:color w:val="000000"/>
          <w:sz w:val="22"/>
          <w:szCs w:val="22"/>
        </w:rPr>
        <w:t xml:space="preserve">L.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laricina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occidentalis</w:t>
      </w:r>
      <w:r>
        <w:rPr>
          <w:rFonts w:ascii="Calibri" w:hAnsi="Calibri" w:eastAsia="Calibri" w:cs="Calibri"/>
          <w:color w:val="000000"/>
          <w:sz w:val="22"/>
          <w:szCs w:val="22"/>
        </w:rPr>
        <w:t xml:space="preserve">. Intermediate resistance has been observed on </w:t>
      </w:r>
      <w:r>
        <w:rPr>
          <w:rFonts w:ascii="Calibri" w:hAnsi="Calibri" w:eastAsia="Calibri" w:cs="Calibri"/>
          <w:i/>
          <w:iCs/>
          <w:color w:val="000000"/>
          <w:sz w:val="22"/>
          <w:szCs w:val="22"/>
        </w:rPr>
        <w:t xml:space="preserve">L. </w:t>
      </w:r>
      <w:r>
        <w:rPr>
          <w:rFonts w:ascii="Calibri" w:hAnsi="Calibri" w:eastAsia="Calibri" w:cs="Calibri"/>
          <w:color w:val="000000"/>
          <w:sz w:val="22"/>
          <w:szCs w:val="22"/>
        </w:rPr>
        <w:t xml:space="preserve">x</w:t>
      </w:r>
      <w:r>
        <w:rPr>
          <w:rFonts w:ascii="Calibri" w:hAnsi="Calibri" w:eastAsia="Calibri" w:cs="Calibri"/>
          <w:i/>
          <w:iCs/>
          <w:color w:val="000000"/>
          <w:sz w:val="22"/>
          <w:szCs w:val="22"/>
        </w:rPr>
        <w:t xml:space="preserve"> eurolepis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kaempferi</w:t>
      </w:r>
      <w:r>
        <w:rPr>
          <w:rFonts w:ascii="Calibri" w:hAnsi="Calibri" w:eastAsia="Calibri" w:cs="Calibri"/>
          <w:color w:val="000000"/>
          <w:sz w:val="22"/>
          <w:szCs w:val="22"/>
        </w:rPr>
        <w:t xml:space="preserve">. Resistance has been shown on </w:t>
      </w:r>
      <w:r>
        <w:rPr>
          <w:rFonts w:ascii="Calibri" w:hAnsi="Calibri" w:eastAsia="Calibri" w:cs="Calibri"/>
          <w:i/>
          <w:iCs/>
          <w:color w:val="000000"/>
          <w:sz w:val="22"/>
          <w:szCs w:val="22"/>
        </w:rPr>
        <w:t xml:space="preserve">L. gmelinii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olgensis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koreana</w:t>
      </w:r>
      <w:r>
        <w:rPr>
          <w:rFonts w:ascii="Calibri" w:hAnsi="Calibri" w:eastAsia="Calibri" w:cs="Calibri"/>
          <w:color w:val="000000"/>
          <w:sz w:val="22"/>
          <w:szCs w:val="22"/>
        </w:rPr>
        <w:t xml:space="preserve">. The only other host in nature is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Many other conifers can be infected by artificial inoculation. For additional information, see Sato &amp; Shouji (1962), Sato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(1963), Ito (1963), Imazeki &amp; Ito (1963), Oguchi (1970), Sato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decidua</w:t>
      </w:r>
      <w:r>
        <w:rPr>
          <w:rFonts w:ascii="Calibri" w:hAnsi="Calibri" w:eastAsia="Calibri" w:cs="Calibri"/>
          <w:color w:val="000000"/>
          <w:sz w:val="22"/>
          <w:szCs w:val="22"/>
        </w:rPr>
        <w:t xml:space="preserve"> is widely distributed in Europe at various altitudes (e.g. in the Alps and also in the Polish plains). </w:t>
      </w:r>
      <w:r>
        <w:rPr>
          <w:rFonts w:ascii="Calibri" w:hAnsi="Calibri" w:eastAsia="Calibri" w:cs="Calibri"/>
          <w:i/>
          <w:iCs/>
          <w:color w:val="000000"/>
          <w:sz w:val="22"/>
          <w:szCs w:val="22"/>
        </w:rPr>
        <w:t xml:space="preserve">L. leptolepis</w:t>
      </w:r>
      <w:r>
        <w:rPr>
          <w:rFonts w:ascii="Calibri" w:hAnsi="Calibri" w:eastAsia="Calibri" w:cs="Calibri"/>
          <w:color w:val="000000"/>
          <w:sz w:val="22"/>
          <w:szCs w:val="22"/>
        </w:rPr>
        <w:t xml:space="preserve"> is also planted in the EPPO region.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is an important forest tree.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 var.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 var. olgensis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 var. principis-ruprechtii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kaempferi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laricina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x marschlinsii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N. laricinum</w:t>
      </w:r>
      <w:r>
        <w:rPr>
          <w:rFonts w:ascii="Calibri" w:hAnsi="Calibri" w:eastAsia="Calibri" w:cs="Calibri"/>
          <w:color w:val="000000"/>
          <w:sz w:val="22"/>
          <w:szCs w:val="22"/>
        </w:rPr>
        <w:t xml:space="preserve"> is reported from East Asia, i.e. Eastern China, Japan, the Korean Peninsula and the Russian Far East.</w:t>
      </w:r>
    </w:p>
    <w:p>
      <w:r>
        <w:drawing>
          <wp:inline distT="0" distB="0" distL="0" distR="0">
            <wp:extent cx="6120000" cy="3067200"/>
            <wp:docPr id="17005117" name="name9549699430fa5c25d" descr="GUIGL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IGLA_distribution_map.jpg"/>
                    <pic:cNvPicPr/>
                  </pic:nvPicPr>
                  <pic:blipFill>
                    <a:blip r:embed="rId2003699430fa5c25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Russian Federation (Far East)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(Hebei, Heilongjiang, Jilin, Liaoning, Shandong), Japan (Hokkaido, Honshu), Korea, Democratic People's Republic of, Korea, Republic of</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biology of </w:t>
      </w:r>
      <w:r>
        <w:rPr>
          <w:rFonts w:ascii="Calibri" w:hAnsi="Calibri" w:eastAsia="Calibri" w:cs="Calibri"/>
          <w:i/>
          <w:iCs/>
          <w:color w:val="000000"/>
          <w:sz w:val="22"/>
          <w:szCs w:val="22"/>
        </w:rPr>
        <w:t xml:space="preserve">N. laricinum</w:t>
      </w:r>
      <w:r>
        <w:rPr>
          <w:rFonts w:ascii="Calibri" w:hAnsi="Calibri" w:eastAsia="Calibri" w:cs="Calibri"/>
          <w:color w:val="000000"/>
          <w:sz w:val="22"/>
          <w:szCs w:val="22"/>
        </w:rPr>
        <w:t xml:space="preserve"> has mainly been studied in Japan (Uozomi, 1961; Yokota, 1966; Sato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1971).</w:t>
      </w:r>
    </w:p>
    <w:p>
      <w:pPr>
        <w:widowControl w:val="on"/>
        <w:pBdr/>
        <w:spacing w:before="220" w:after="220" w:line="240" w:lineRule="auto"/>
        <w:ind w:left="0" w:right="0"/>
        <w:jc w:val="both"/>
      </w:pPr>
      <w:r>
        <w:rPr>
          <w:rFonts w:ascii="Calibri" w:hAnsi="Calibri" w:eastAsia="Calibri" w:cs="Calibri"/>
          <w:color w:val="000000"/>
          <w:sz w:val="22"/>
          <w:szCs w:val="22"/>
        </w:rPr>
        <w:t xml:space="preserve">The asexual morph appears in abundance on the underside of needles and on young sprouts between July and November, and spores are dispersed by insects or rain. During this time, the pycnidiospores are released and give rise to secondary infections in late summer. Discharge of conidia occurs between 10 and 35°C (25°C optimum) and was observed to occur at 98% RH. A few spores in their pycnidia can overwinter until the following April.</w:t>
      </w:r>
    </w:p>
    <w:p>
      <w:pPr>
        <w:widowControl w:val="on"/>
        <w:pBdr/>
        <w:spacing w:before="220" w:after="220" w:line="240" w:lineRule="auto"/>
        <w:ind w:left="0" w:right="0"/>
        <w:jc w:val="both"/>
      </w:pPr>
      <w:r>
        <w:rPr>
          <w:rFonts w:ascii="Calibri" w:hAnsi="Calibri" w:eastAsia="Calibri" w:cs="Calibri"/>
          <w:color w:val="000000"/>
          <w:sz w:val="22"/>
          <w:szCs w:val="22"/>
        </w:rPr>
        <w:t xml:space="preserve">The sexual morph appears on branches after October. The black pseudothecia, which occur in groups or singly, take 2 years to develop. Ascospores released between May and October (peak July-August) are the source of primary infections. Optimum temperature for infection is 20°C with free water. Ascospores can infect host plants throughout the season, but do so principally at the beginning of August; wounds do not appear necessary for penetration. Disease symptoms appear about 2 weeks after infection. Some spores may overwinter in the pseudothecia. Cool winters and short summers do not favour the disease.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is conspicuous as discoloration, wilting and death of the succulent current season's growth. Old twigs remain unaffected. Early attack, visible between June and September, causes hanging-down of the top of shoots, accompanied by a yellowing and browning of needles which may fall. The needles at the tops of shoots turn brown and often remain on the tree during winter. Dark, sunken lesions, abundant in sporulating bodies, and exuding resin appear on the stems of affected seedlings and on shoots, and usually girdle these parts. The resin hardens into whitish drops. Late infections, occurring in September to early October, do not show the characteristic hanging-down, owing to the lignified nature of the twigs. On needles, symptoms appear as brown spots with chlorotic haloes, which subsequently coalesce. Repeated infections result in stunted, bushy trees with many dead shoots.</w:t>
      </w:r>
    </w:p>
    <w:p>
      <w:pPr>
        <w:widowControl w:val="on"/>
        <w:pBdr/>
        <w:spacing w:before="220" w:after="220" w:line="240" w:lineRule="auto"/>
        <w:ind w:left="0" w:right="0"/>
        <w:jc w:val="both"/>
      </w:pPr>
      <w:r>
        <w:rPr>
          <w:rFonts w:ascii="Calibri" w:hAnsi="Calibri" w:eastAsia="Calibri" w:cs="Calibri"/>
          <w:color w:val="000000"/>
          <w:sz w:val="22"/>
          <w:szCs w:val="22"/>
        </w:rPr>
        <w:t xml:space="preserve">For additional information, see Imazeki &amp; Ito (1963), Ito (1963), Sato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Sexual morph: Diseased twigs defoliated from the middle to the tip, with exudate resin. Fruit bodies lined, erumpent. Ascomata epidermal, blackish, globose, 368 μm diam; ostiole erumpent, 60 μm diam; paraphyses developed, intricate, 3 μm. Ascus clavate, rounded at the apex, stipitate at the base, hyaline, 114–135 × 22–26 μm. Ascospores ellipsoid, smooth, hyaline, 24–27 × 13 μm (Sawada, 1950).</w:t>
      </w:r>
    </w:p>
    <w:p>
      <w:pPr>
        <w:widowControl w:val="on"/>
        <w:pBdr/>
        <w:spacing w:before="220" w:after="220" w:line="240" w:lineRule="auto"/>
        <w:ind w:left="0" w:right="0"/>
        <w:jc w:val="both"/>
      </w:pPr>
      <w:r>
        <w:rPr>
          <w:rFonts w:ascii="Calibri" w:hAnsi="Calibri" w:eastAsia="Calibri" w:cs="Calibri"/>
          <w:color w:val="000000"/>
          <w:sz w:val="22"/>
          <w:szCs w:val="22"/>
        </w:rPr>
        <w:t xml:space="preserve">Asexual morph: Conidiomata pycnidial, epidermal, merged, solitary, globose, dark brown, subglobose, unilocular, with a central ostiole, 204–246 × 207–212 μm; pycnidial wall composed of depressed or irregular cells in three to four layers, brown to dark brown. Conidiophores reduced to conidiogenous cells; conidiogenous cells discrete, hyaline, cylindrical to ampulliform, determinate, with periclinal thickening, or proliferating percurrently, 9–23 × 2.4–5 μm. Paraphyses not seen. Conidia holoblastic sporulation for first conidia, phialidic sporulation for following conidia, hyaline, smooth, aseptate, slightly colored and septate with age, ellipsoid to fusiform, granulate, subtruncate to bluntly rounded at the base, rounded to subacute at the apex, with a short frill at both ends, 23–38 × 7–12 μm, 29.85 × 8.50 μm on average, L/W = 3.57 (Hattori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fungal fruiting bodies may be observed directly or isolated and cultured on a medium containing 3 g yeast extract, 10 g soluble starch, 0.25 g MgSO</w:t>
      </w:r>
      <w:r>
        <w:rPr>
          <w:rFonts w:ascii="Calibri" w:hAnsi="Calibri" w:eastAsia="Calibri" w:cs="Calibri"/>
          <w:color w:val="000000"/>
          <w:position w:val="-4"/>
          <w:sz w:val="22"/>
          <w:szCs w:val="22"/>
          <w:vertAlign w:val="subscript"/>
          <w:vertAlign w:val="subscript"/>
        </w:rPr>
        <w:t xml:space="preserve">4</w:t>
      </w:r>
      <w:r>
        <w:rPr>
          <w:rFonts w:ascii="Calibri" w:hAnsi="Calibri" w:eastAsia="Calibri" w:cs="Calibri"/>
          <w:color w:val="000000"/>
          <w:sz w:val="22"/>
          <w:szCs w:val="22"/>
        </w:rPr>
        <w:t xml:space="preserve"> 7H</w:t>
      </w:r>
      <w:r>
        <w:rPr>
          <w:rFonts w:ascii="Calibri" w:hAnsi="Calibri" w:eastAsia="Calibri" w:cs="Calibri"/>
          <w:color w:val="000000"/>
          <w:position w:val="-4"/>
          <w:sz w:val="22"/>
          <w:szCs w:val="22"/>
          <w:vertAlign w:val="subscript"/>
          <w:vertAlign w:val="subscript"/>
        </w:rPr>
        <w:t xml:space="preserve">2</w:t>
      </w:r>
      <w:r>
        <w:rPr>
          <w:rFonts w:ascii="Calibri" w:hAnsi="Calibri" w:eastAsia="Calibri" w:cs="Calibri"/>
          <w:color w:val="000000"/>
          <w:sz w:val="22"/>
          <w:szCs w:val="22"/>
        </w:rPr>
        <w:t xml:space="preserve">O, 15 g agar in 1 L distilled water, maintained at 20°C (Hara &amp; Ito, 1963; Ito, 1963). To identify species in the genus </w:t>
      </w:r>
      <w:r>
        <w:rPr>
          <w:rFonts w:ascii="Calibri" w:hAnsi="Calibri" w:eastAsia="Calibri" w:cs="Calibri"/>
          <w:i/>
          <w:iCs/>
          <w:color w:val="000000"/>
          <w:sz w:val="22"/>
          <w:szCs w:val="22"/>
        </w:rPr>
        <w:t xml:space="preserve">Neofusicoccum</w:t>
      </w:r>
      <w:r>
        <w:rPr>
          <w:rFonts w:ascii="Calibri" w:hAnsi="Calibri" w:eastAsia="Calibri" w:cs="Calibri"/>
          <w:color w:val="000000"/>
          <w:sz w:val="22"/>
          <w:szCs w:val="22"/>
        </w:rPr>
        <w:t xml:space="preserve">, it is now essential to use molecular phylogenetic analysis using the regions of rDNA ITS, rpb2, tef1-α, and tub2. The deposit numbers for each ex-epitype (FFPRI 411215 = MUCC 2662) sequence are LC589129 for ITS, LC589140 for tef1, LC589151 for tub2, LC589164 for rpb2 (Hattori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Under natural conditions, </w:t>
      </w:r>
      <w:r>
        <w:rPr>
          <w:rFonts w:ascii="Calibri" w:hAnsi="Calibri" w:eastAsia="Calibri" w:cs="Calibri"/>
          <w:i/>
          <w:iCs/>
          <w:color w:val="000000"/>
          <w:sz w:val="22"/>
          <w:szCs w:val="22"/>
        </w:rPr>
        <w:t xml:space="preserve">N. laricinum</w:t>
      </w:r>
      <w:r>
        <w:rPr>
          <w:rFonts w:ascii="Calibri" w:hAnsi="Calibri" w:eastAsia="Calibri" w:cs="Calibri"/>
          <w:color w:val="000000"/>
          <w:sz w:val="22"/>
          <w:szCs w:val="22"/>
        </w:rPr>
        <w:t xml:space="preserve"> spreads by dispersal of ascospores and conidia. In international trade, spread is possible on diseased host trees, including artificially dwarfed plants. Cut branches may also be a possible pathway (EFSA, 2018). Pollen or seed is unlikely to harbour the pathogen.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 laricinum</w:t>
      </w:r>
      <w:r>
        <w:rPr>
          <w:rFonts w:ascii="Calibri" w:hAnsi="Calibri" w:eastAsia="Calibri" w:cs="Calibri"/>
          <w:color w:val="000000"/>
          <w:sz w:val="22"/>
          <w:szCs w:val="22"/>
        </w:rPr>
        <w:t xml:space="preserve"> caused the most serious disease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forests and nurseries in Japan. It had long been known locally, but started to cause large-scale damage in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plantations after 1959 - at which time, areas planted with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were increasing rapidly. In 1963, more than 80 000 ha of plantations were diseased, with 100% of the trees affected. Although young diseased trees do not usually die, their subsequent growth is retarded or stopped. </w:t>
      </w:r>
      <w:r>
        <w:rPr>
          <w:rFonts w:ascii="Calibri" w:hAnsi="Calibri" w:eastAsia="Calibri" w:cs="Calibri"/>
          <w:i/>
          <w:iCs/>
          <w:color w:val="000000"/>
          <w:sz w:val="22"/>
          <w:szCs w:val="22"/>
        </w:rPr>
        <w:t xml:space="preserve">N. laricinum</w:t>
      </w:r>
      <w:r>
        <w:rPr>
          <w:rFonts w:ascii="Calibri" w:hAnsi="Calibri" w:eastAsia="Calibri" w:cs="Calibri"/>
          <w:color w:val="000000"/>
          <w:sz w:val="22"/>
          <w:szCs w:val="22"/>
        </w:rPr>
        <w:t xml:space="preserve"> causes severe damage in areas with strong winds, but after changing the tree species planted in these areas and using appropriate management measures, this disease is now under control.</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Japan, chemical control is applied against this disease (Oguchi, 1980; Okada, 2000). In addition, intensive testing of disease-resistant clones and observation of their growth in forest plantations has been carried out (Oguchi, 1963; Sato, 1970; Kobayashi, 1980).</w:t>
      </w:r>
    </w:p>
    <w:p>
      <w:pPr>
        <w:widowControl w:val="on"/>
        <w:pBdr/>
        <w:spacing w:before="220" w:after="220" w:line="240" w:lineRule="auto"/>
        <w:ind w:left="0" w:right="0"/>
        <w:jc w:val="both"/>
      </w:pPr>
      <w:r>
        <w:rPr>
          <w:rFonts w:ascii="Calibri" w:hAnsi="Calibri" w:eastAsia="Calibri" w:cs="Calibri"/>
          <w:color w:val="000000"/>
          <w:sz w:val="22"/>
          <w:szCs w:val="22"/>
        </w:rPr>
        <w:t xml:space="preserve">In nursery fields, fungicides can be applied every 2 weeks during the infection period (June to September). In highly infested nurseries, dipping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seedlings into fungicide solution in spring is also used. In forest plantations, it is important to avoid bringing in diseased seedlings. When the disease is not widespread, early detection is important to eradicate the disease. If damage is widespread, it is necessary to reduce the density of the pathogen by prioritizing the felling of diseased trees during thinning. Removal and burning of the infected trees and reforestation by other species are also carried out in heavily diseased stands.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N. laricinum</w:t>
      </w:r>
      <w:r>
        <w:rPr>
          <w:rFonts w:ascii="Calibri" w:hAnsi="Calibri" w:eastAsia="Calibri" w:cs="Calibri"/>
          <w:color w:val="000000"/>
          <w:sz w:val="22"/>
          <w:szCs w:val="22"/>
        </w:rPr>
        <w:t xml:space="preserve"> could be potentially dangerous to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menziesii</w:t>
      </w:r>
      <w:r>
        <w:rPr>
          <w:rFonts w:ascii="Calibri" w:hAnsi="Calibri" w:eastAsia="Calibri" w:cs="Calibri"/>
          <w:color w:val="000000"/>
          <w:sz w:val="22"/>
          <w:szCs w:val="22"/>
        </w:rPr>
        <w:t xml:space="preserve">, wherever present. Considering the distribution of </w:t>
      </w:r>
      <w:r>
        <w:rPr>
          <w:rFonts w:ascii="Calibri" w:hAnsi="Calibri" w:eastAsia="Calibri" w:cs="Calibri"/>
          <w:i/>
          <w:iCs/>
          <w:color w:val="000000"/>
          <w:sz w:val="22"/>
          <w:szCs w:val="22"/>
        </w:rPr>
        <w:t xml:space="preserve">N. laricinum</w:t>
      </w:r>
      <w:r>
        <w:rPr>
          <w:rFonts w:ascii="Calibri" w:hAnsi="Calibri" w:eastAsia="Calibri" w:cs="Calibri"/>
          <w:color w:val="000000"/>
          <w:sz w:val="22"/>
          <w:szCs w:val="22"/>
        </w:rPr>
        <w:t xml:space="preserve"> in East Asia, climatic conditions prevailing in Europe are assumed not to be a limiting factor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the risk that this fungus could present to the EPPO region it is recommended that all countries should prohibit importation of plants for planting and cut branches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menziesii</w:t>
      </w:r>
      <w:r>
        <w:rPr>
          <w:rFonts w:ascii="Calibri" w:hAnsi="Calibri" w:eastAsia="Calibri" w:cs="Calibri"/>
          <w:color w:val="000000"/>
          <w:sz w:val="22"/>
          <w:szCs w:val="22"/>
        </w:rPr>
        <w:t xml:space="preserve"> from countries where </w:t>
      </w:r>
      <w:r>
        <w:rPr>
          <w:rFonts w:ascii="Calibri" w:hAnsi="Calibri" w:eastAsia="Calibri" w:cs="Calibri"/>
          <w:i/>
          <w:iCs/>
          <w:color w:val="000000"/>
          <w:sz w:val="22"/>
          <w:szCs w:val="22"/>
        </w:rPr>
        <w:t xml:space="preserve">N. laricinum</w:t>
      </w:r>
      <w:r>
        <w:rPr>
          <w:rFonts w:ascii="Calibri" w:hAnsi="Calibri" w:eastAsia="Calibri" w:cs="Calibri"/>
          <w:color w:val="000000"/>
          <w:sz w:val="22"/>
          <w:szCs w:val="22"/>
        </w:rPr>
        <w:t xml:space="preserve"> this fungus occurs.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Jeger M, Bragard C, Caffier D, Candresse T, Chatzivassiliou E, Dehnen-Schmutz K, Gilioli G, Gregoire J-C, Jaques Miret JA, MacLeod A, Navajas Navarro M, Niere B, Parnell S, Potting R, Rafoss T, Rossi V, Urek G, Van Bruggen A, Van der Werf W, West J, Winter S, Boberg J, Gonthier P, Pautasso M (2018) Scientific Opinion on the pest categorisation of </w:t>
      </w:r>
      <w:r>
        <w:rPr>
          <w:rFonts w:ascii="Calibri" w:hAnsi="Calibri" w:eastAsia="Calibri" w:cs="Calibri"/>
          <w:i/>
          <w:iCs/>
          <w:color w:val="000000"/>
          <w:sz w:val="22"/>
          <w:szCs w:val="22"/>
        </w:rPr>
        <w:t xml:space="preserve">Guignardia laricina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(6), 5303, 24 pp. </w:t>
      </w:r>
      <w:hyperlink r:id="rId4427699430fa5caf4" w:history="1">
        <w:r>
          <w:rPr>
            <w:rFonts w:ascii="Calibri" w:hAnsi="Calibri" w:eastAsia="Calibri" w:cs="Calibri"/>
            <w:color w:val="0000CC"/>
            <w:sz w:val="22"/>
            <w:szCs w:val="22"/>
            <w:u w:val="single"/>
          </w:rPr>
          <w:t xml:space="preserve">https://doi.org/10.2903/j.efsa.2018.5303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Hara K &amp; Ito K (1963) [Agar-media for sporulation of </w:t>
      </w:r>
      <w:r>
        <w:rPr>
          <w:rFonts w:ascii="Calibri" w:hAnsi="Calibri" w:eastAsia="Calibri" w:cs="Calibri"/>
          <w:i/>
          <w:iCs/>
          <w:color w:val="000000"/>
          <w:sz w:val="22"/>
          <w:szCs w:val="22"/>
        </w:rPr>
        <w:t xml:space="preserve">Guignardia laricina</w:t>
      </w:r>
      <w:r>
        <w:rPr>
          <w:rFonts w:ascii="Calibri" w:hAnsi="Calibri" w:eastAsia="Calibri" w:cs="Calibri"/>
          <w:color w:val="000000"/>
          <w:sz w:val="22"/>
          <w:szCs w:val="22"/>
        </w:rPr>
        <w:t xml:space="preserve"> (Sawada) W. Yamamoto et K. ITo, the shoot blight fungus of larch (Preliminary report)]. </w:t>
      </w:r>
      <w:r>
        <w:rPr>
          <w:rFonts w:ascii="Calibri" w:hAnsi="Calibri" w:eastAsia="Calibri" w:cs="Calibri"/>
          <w:i/>
          <w:iCs/>
          <w:color w:val="000000"/>
          <w:sz w:val="22"/>
          <w:szCs w:val="22"/>
        </w:rPr>
        <w:t xml:space="preserve">Journal of the Japanese Forest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238-241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Hattori Y, Ando Y &amp; Nakashima C (2021) Taxonomical re-examination of the genus </w:t>
      </w:r>
      <w:r>
        <w:rPr>
          <w:rFonts w:ascii="Calibri" w:hAnsi="Calibri" w:eastAsia="Calibri" w:cs="Calibri"/>
          <w:i/>
          <w:iCs/>
          <w:color w:val="000000"/>
          <w:sz w:val="22"/>
          <w:szCs w:val="22"/>
        </w:rPr>
        <w:t xml:space="preserve">Neofusicoccum</w:t>
      </w:r>
      <w:r>
        <w:rPr>
          <w:rFonts w:ascii="Calibri" w:hAnsi="Calibri" w:eastAsia="Calibri" w:cs="Calibri"/>
          <w:color w:val="000000"/>
          <w:sz w:val="22"/>
          <w:szCs w:val="22"/>
        </w:rPr>
        <w:t xml:space="preserve"> in Japan. </w:t>
      </w:r>
      <w:r>
        <w:rPr>
          <w:rFonts w:ascii="Calibri" w:hAnsi="Calibri" w:eastAsia="Calibri" w:cs="Calibri"/>
          <w:i/>
          <w:iCs/>
          <w:color w:val="000000"/>
          <w:sz w:val="22"/>
          <w:szCs w:val="22"/>
        </w:rPr>
        <w:t xml:space="preserve">Mycoscience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250-259.</w:t>
      </w:r>
    </w:p>
    <w:p>
      <w:pPr>
        <w:widowControl w:val="on"/>
        <w:pBdr/>
        <w:spacing w:before="220" w:after="220" w:line="240" w:lineRule="auto"/>
        <w:ind w:left="0" w:right="0"/>
        <w:jc w:val="left"/>
      </w:pPr>
      <w:r>
        <w:rPr>
          <w:rFonts w:ascii="Calibri" w:hAnsi="Calibri" w:eastAsia="Calibri" w:cs="Calibri"/>
          <w:color w:val="000000"/>
          <w:sz w:val="22"/>
          <w:szCs w:val="22"/>
        </w:rPr>
        <w:t xml:space="preserve">Imazeki R &amp; Ito K (1963) Dangerous forest diseases in Japan. Shoot blight of larch. In: </w:t>
      </w:r>
      <w:r>
        <w:rPr>
          <w:rFonts w:ascii="Calibri" w:hAnsi="Calibri" w:eastAsia="Calibri" w:cs="Calibri"/>
          <w:i/>
          <w:iCs/>
          <w:color w:val="000000"/>
          <w:sz w:val="22"/>
          <w:szCs w:val="22"/>
        </w:rPr>
        <w:t xml:space="preserve">Internationally dangerous forest tree diseases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Miscellaneous Publications, Forest Service, US Department of Agriculture</w:t>
      </w:r>
      <w:r>
        <w:rPr>
          <w:rFonts w:ascii="Calibri" w:hAnsi="Calibri" w:eastAsia="Calibri" w:cs="Calibri"/>
          <w:color w:val="000000"/>
          <w:sz w:val="22"/>
          <w:szCs w:val="22"/>
        </w:rPr>
        <w:t xml:space="preserve"> No. 939, 48-49.</w:t>
      </w:r>
    </w:p>
    <w:p>
      <w:pPr>
        <w:widowControl w:val="on"/>
        <w:pBdr/>
        <w:spacing w:before="220" w:after="220" w:line="240" w:lineRule="auto"/>
        <w:ind w:left="0" w:right="0"/>
        <w:jc w:val="left"/>
      </w:pPr>
      <w:r>
        <w:rPr>
          <w:rFonts w:ascii="Calibri" w:hAnsi="Calibri" w:eastAsia="Calibri" w:cs="Calibri"/>
          <w:color w:val="000000"/>
          <w:sz w:val="22"/>
          <w:szCs w:val="22"/>
        </w:rPr>
        <w:t xml:space="preserve">Ito K (1963) Shoot blight of larches. A destructive disease in larch plantations of Japan. </w:t>
      </w:r>
      <w:r>
        <w:rPr>
          <w:rFonts w:ascii="Calibri" w:hAnsi="Calibri" w:eastAsia="Calibri" w:cs="Calibri"/>
          <w:i/>
          <w:iCs/>
          <w:color w:val="000000"/>
          <w:sz w:val="22"/>
          <w:szCs w:val="22"/>
        </w:rPr>
        <w:t xml:space="preserve">Bulletin of the Government Forest Experiment Station, Tokyo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159</w:t>
      </w:r>
      <w:r>
        <w:rPr>
          <w:rFonts w:ascii="Calibri" w:hAnsi="Calibri" w:eastAsia="Calibri" w:cs="Calibri"/>
          <w:color w:val="000000"/>
          <w:sz w:val="22"/>
          <w:szCs w:val="22"/>
        </w:rPr>
        <w:t xml:space="preserve">, 89-103.</w:t>
      </w:r>
    </w:p>
    <w:p>
      <w:pPr>
        <w:widowControl w:val="on"/>
        <w:pBdr/>
        <w:spacing w:before="220" w:after="220" w:line="240" w:lineRule="auto"/>
        <w:ind w:left="0" w:right="0"/>
        <w:jc w:val="left"/>
      </w:pPr>
      <w:r>
        <w:rPr>
          <w:rFonts w:ascii="Calibri" w:hAnsi="Calibri" w:eastAsia="Calibri" w:cs="Calibri"/>
          <w:color w:val="000000"/>
          <w:sz w:val="22"/>
          <w:szCs w:val="22"/>
        </w:rPr>
        <w:t xml:space="preserve">Kobayashi T (1980) Important forest diseases and their control measures. </w:t>
      </w:r>
      <w:r>
        <w:rPr>
          <w:rFonts w:ascii="Calibri" w:hAnsi="Calibri" w:eastAsia="Calibri" w:cs="Calibri"/>
          <w:i/>
          <w:iCs/>
          <w:color w:val="000000"/>
          <w:sz w:val="22"/>
          <w:szCs w:val="22"/>
        </w:rPr>
        <w:t xml:space="preserve">Plant Protection in Japan, Agriculture Asia</w:t>
      </w:r>
      <w:r>
        <w:rPr>
          <w:rFonts w:ascii="Calibri" w:hAnsi="Calibri" w:eastAsia="Calibri" w:cs="Calibri"/>
          <w:color w:val="000000"/>
          <w:sz w:val="22"/>
          <w:szCs w:val="22"/>
        </w:rPr>
        <w:t xml:space="preserve">, Special Issue No. 11, 298 pp.</w:t>
      </w:r>
    </w:p>
    <w:p>
      <w:pPr>
        <w:widowControl w:val="on"/>
        <w:pBdr/>
        <w:spacing w:before="220" w:after="220" w:line="240" w:lineRule="auto"/>
        <w:ind w:left="0" w:right="0"/>
        <w:jc w:val="left"/>
      </w:pPr>
      <w:r>
        <w:rPr>
          <w:rFonts w:ascii="Calibri" w:hAnsi="Calibri" w:eastAsia="Calibri" w:cs="Calibri"/>
          <w:color w:val="000000"/>
          <w:sz w:val="22"/>
          <w:szCs w:val="22"/>
        </w:rPr>
        <w:t xml:space="preserve">Okada M (2000) カラマツ先枯病[The shoot blight disease of Larch], 技術情報, No. 103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Oguchi T (1963) カラマツ先枯病に対するカラマツクローンの耐病性差異[Differential resistance of Larch clones to the shoot blight of Larch], 北海道光珠内林木育種場報告, N0. 2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Oguchi T (1970) Growth of three species of larch and their infecting period to the shoot blight disease. </w:t>
      </w:r>
      <w:r>
        <w:rPr>
          <w:rFonts w:ascii="Calibri" w:hAnsi="Calibri" w:eastAsia="Calibri" w:cs="Calibri"/>
          <w:i/>
          <w:iCs/>
          <w:color w:val="000000"/>
          <w:sz w:val="22"/>
          <w:szCs w:val="22"/>
        </w:rPr>
        <w:t xml:space="preserve">Bulletin, Hokkaido Forest Experiment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35-40.</w:t>
      </w:r>
    </w:p>
    <w:p>
      <w:pPr>
        <w:widowControl w:val="on"/>
        <w:pBdr/>
        <w:spacing w:before="220" w:after="220" w:line="240" w:lineRule="auto"/>
        <w:ind w:left="0" w:right="0"/>
        <w:jc w:val="left"/>
      </w:pPr>
      <w:r>
        <w:rPr>
          <w:rFonts w:ascii="Calibri" w:hAnsi="Calibri" w:eastAsia="Calibri" w:cs="Calibri"/>
          <w:color w:val="000000"/>
          <w:sz w:val="22"/>
          <w:szCs w:val="22"/>
        </w:rPr>
        <w:t xml:space="preserve">Oguchi T (1980) カラマツの四大樹病[Forest Diseases Series 1: Four Major Diseases of Japanese Larch]. </w:t>
      </w:r>
      <w:r>
        <w:rPr>
          <w:rFonts w:ascii="Calibri" w:hAnsi="Calibri" w:eastAsia="Calibri" w:cs="Calibri"/>
          <w:i/>
          <w:iCs/>
          <w:color w:val="000000"/>
          <w:sz w:val="22"/>
          <w:szCs w:val="22"/>
        </w:rPr>
        <w:t xml:space="preserve">光珠内季報</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44, 46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Sato K &amp; Shouji T (1962) [Ditto V (Preliminary report). Pathogenicity of </w:t>
      </w:r>
      <w:r>
        <w:rPr>
          <w:rFonts w:ascii="Calibri" w:hAnsi="Calibri" w:eastAsia="Calibri" w:cs="Calibri"/>
          <w:i/>
          <w:iCs/>
          <w:color w:val="000000"/>
          <w:sz w:val="22"/>
          <w:szCs w:val="22"/>
        </w:rPr>
        <w:t xml:space="preserve">Guignardia laricina</w:t>
      </w:r>
      <w:r>
        <w:rPr>
          <w:rFonts w:ascii="Calibri" w:hAnsi="Calibri" w:eastAsia="Calibri" w:cs="Calibri"/>
          <w:color w:val="000000"/>
          <w:sz w:val="22"/>
          <w:szCs w:val="22"/>
        </w:rPr>
        <w:t xml:space="preserve">, the causal fungus of the disease]. </w:t>
      </w:r>
      <w:r>
        <w:rPr>
          <w:rFonts w:ascii="Calibri" w:hAnsi="Calibri" w:eastAsia="Calibri" w:cs="Calibri"/>
          <w:i/>
          <w:iCs/>
          <w:color w:val="000000"/>
          <w:sz w:val="22"/>
          <w:szCs w:val="22"/>
        </w:rPr>
        <w:t xml:space="preserve">Transactions of the 73rd Annual Meetings of the Japanese Forestry Society</w:t>
      </w:r>
      <w:r>
        <w:rPr>
          <w:rFonts w:ascii="Calibri" w:hAnsi="Calibri" w:eastAsia="Calibri" w:cs="Calibri"/>
          <w:color w:val="000000"/>
          <w:sz w:val="22"/>
          <w:szCs w:val="22"/>
        </w:rPr>
        <w:t xml:space="preserve">, 217-219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Sato K, Yokozawa Y, Shoji T (1963) Studies on the shoot blight disease of larch I. </w:t>
      </w:r>
      <w:r>
        <w:rPr>
          <w:rFonts w:ascii="Calibri" w:hAnsi="Calibri" w:eastAsia="Calibri" w:cs="Calibri"/>
          <w:i/>
          <w:iCs/>
          <w:color w:val="000000"/>
          <w:sz w:val="22"/>
          <w:szCs w:val="22"/>
        </w:rPr>
        <w:t xml:space="preserve">Bulletin of the Government Forest Experimental Station, Tokyo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156</w:t>
      </w:r>
      <w:r>
        <w:rPr>
          <w:rFonts w:ascii="Calibri" w:hAnsi="Calibri" w:eastAsia="Calibri" w:cs="Calibri"/>
          <w:color w:val="000000"/>
          <w:sz w:val="22"/>
          <w:szCs w:val="22"/>
        </w:rPr>
        <w:t xml:space="preserve">, 85–137.</w:t>
      </w:r>
    </w:p>
    <w:p>
      <w:pPr>
        <w:widowControl w:val="on"/>
        <w:pBdr/>
        <w:spacing w:before="220" w:after="220" w:line="240" w:lineRule="auto"/>
        <w:ind w:left="0" w:right="0"/>
        <w:jc w:val="left"/>
      </w:pPr>
      <w:r>
        <w:rPr>
          <w:rFonts w:ascii="Calibri" w:hAnsi="Calibri" w:eastAsia="Calibri" w:cs="Calibri"/>
          <w:color w:val="000000"/>
          <w:sz w:val="22"/>
          <w:szCs w:val="22"/>
        </w:rPr>
        <w:t xml:space="preserve">Sato K (1970) 東北地方における造林樹種とその品種の病害抵抗性[Disease resistance of silvicultural tree species and their cultivars in the Tohoku region]. 東北の林木育種, No. 26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Sato K, Yoshinori Y, Shoji T, Kojima C (1971) Studies on the shoot blight of larch II. </w:t>
      </w:r>
      <w:r>
        <w:rPr>
          <w:rFonts w:ascii="Calibri" w:hAnsi="Calibri" w:eastAsia="Calibri" w:cs="Calibri"/>
          <w:i/>
          <w:iCs/>
          <w:color w:val="000000"/>
          <w:sz w:val="22"/>
          <w:szCs w:val="22"/>
        </w:rPr>
        <w:t xml:space="preserve">Bulletin of the Government Forest Experiment Station, Meguro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236</w:t>
      </w:r>
      <w:r>
        <w:rPr>
          <w:rFonts w:ascii="Calibri" w:hAnsi="Calibri" w:eastAsia="Calibri" w:cs="Calibri"/>
          <w:color w:val="000000"/>
          <w:sz w:val="22"/>
          <w:szCs w:val="22"/>
        </w:rPr>
        <w:t xml:space="preserve">, 27-91.</w:t>
      </w:r>
    </w:p>
    <w:p>
      <w:pPr>
        <w:widowControl w:val="on"/>
        <w:pBdr/>
        <w:spacing w:before="220" w:after="220" w:line="240" w:lineRule="auto"/>
        <w:ind w:left="0" w:right="0"/>
        <w:jc w:val="left"/>
      </w:pPr>
      <w:r>
        <w:rPr>
          <w:rFonts w:ascii="Calibri" w:hAnsi="Calibri" w:eastAsia="Calibri" w:cs="Calibri"/>
          <w:color w:val="000000"/>
          <w:sz w:val="22"/>
          <w:szCs w:val="22"/>
        </w:rPr>
        <w:t xml:space="preserve">Sawada (1950) Fungi inhabiting conifers in the Tohoku district. II. Fungi on various conifers except ‘Sugi’. </w:t>
      </w:r>
      <w:r>
        <w:rPr>
          <w:rFonts w:ascii="Calibri" w:hAnsi="Calibri" w:eastAsia="Calibri" w:cs="Calibri"/>
          <w:i/>
          <w:iCs/>
          <w:color w:val="000000"/>
          <w:sz w:val="22"/>
          <w:szCs w:val="22"/>
        </w:rPr>
        <w:t xml:space="preserve">Bulletin of the Government Forest Experimental Station, Meguro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144–148.</w:t>
      </w:r>
    </w:p>
    <w:p>
      <w:pPr>
        <w:widowControl w:val="on"/>
        <w:pBdr/>
        <w:spacing w:before="220" w:after="220" w:line="240" w:lineRule="auto"/>
        <w:ind w:left="0" w:right="0"/>
        <w:jc w:val="left"/>
      </w:pPr>
      <w:r>
        <w:rPr>
          <w:rFonts w:ascii="Calibri" w:hAnsi="Calibri" w:eastAsia="Calibri" w:cs="Calibri"/>
          <w:color w:val="000000"/>
          <w:sz w:val="22"/>
          <w:szCs w:val="22"/>
        </w:rPr>
        <w:t xml:space="preserve">Uozumi T (1961) Studies on the shoot blight disease of larch. With special reference to life history of the causal fungus, </w:t>
      </w:r>
      <w:r>
        <w:rPr>
          <w:rFonts w:ascii="Calibri" w:hAnsi="Calibri" w:eastAsia="Calibri" w:cs="Calibri"/>
          <w:i/>
          <w:iCs/>
          <w:color w:val="000000"/>
          <w:sz w:val="22"/>
          <w:szCs w:val="22"/>
        </w:rPr>
        <w:t xml:space="preserve">Physalospora laricina</w:t>
      </w:r>
      <w:r>
        <w:rPr>
          <w:rFonts w:ascii="Calibri" w:hAnsi="Calibri" w:eastAsia="Calibri" w:cs="Calibri"/>
          <w:color w:val="000000"/>
          <w:sz w:val="22"/>
          <w:szCs w:val="22"/>
        </w:rPr>
        <w:t xml:space="preserve"> Sawada. </w:t>
      </w:r>
      <w:r>
        <w:rPr>
          <w:rFonts w:ascii="Calibri" w:hAnsi="Calibri" w:eastAsia="Calibri" w:cs="Calibri"/>
          <w:i/>
          <w:iCs/>
          <w:color w:val="000000"/>
          <w:sz w:val="22"/>
          <w:szCs w:val="22"/>
        </w:rPr>
        <w:t xml:space="preserve">Bulletin of the Government. Forest Experiment Station, Meguro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132</w:t>
      </w:r>
      <w:r>
        <w:rPr>
          <w:rFonts w:ascii="Calibri" w:hAnsi="Calibri" w:eastAsia="Calibri" w:cs="Calibri"/>
          <w:color w:val="000000"/>
          <w:sz w:val="22"/>
          <w:szCs w:val="22"/>
        </w:rPr>
        <w:t xml:space="preserve">, 47-54.</w:t>
      </w:r>
    </w:p>
    <w:p>
      <w:pPr>
        <w:widowControl w:val="on"/>
        <w:pBdr/>
        <w:spacing w:before="220" w:after="220" w:line="240" w:lineRule="auto"/>
        <w:ind w:left="0" w:right="0"/>
        <w:jc w:val="left"/>
      </w:pPr>
      <w:r>
        <w:rPr>
          <w:rFonts w:ascii="Calibri" w:hAnsi="Calibri" w:eastAsia="Calibri" w:cs="Calibri"/>
          <w:color w:val="000000"/>
          <w:sz w:val="22"/>
          <w:szCs w:val="22"/>
        </w:rPr>
        <w:t xml:space="preserve">Yokota S (1966) Ecological studies on </w:t>
      </w:r>
      <w:r>
        <w:rPr>
          <w:rFonts w:ascii="Calibri" w:hAnsi="Calibri" w:eastAsia="Calibri" w:cs="Calibri"/>
          <w:i/>
          <w:iCs/>
          <w:color w:val="000000"/>
          <w:sz w:val="22"/>
          <w:szCs w:val="22"/>
        </w:rPr>
        <w:t xml:space="preserve">Guignardia laricina</w:t>
      </w:r>
      <w:r>
        <w:rPr>
          <w:rFonts w:ascii="Calibri" w:hAnsi="Calibri" w:eastAsia="Calibri" w:cs="Calibri"/>
          <w:color w:val="000000"/>
          <w:sz w:val="22"/>
          <w:szCs w:val="22"/>
        </w:rPr>
        <w:t xml:space="preserve">, the causal fungus of the shoot blight of larch trees and climatic factors influencing the outbreak of the disease. </w:t>
      </w:r>
      <w:r>
        <w:rPr>
          <w:rFonts w:ascii="Calibri" w:hAnsi="Calibri" w:eastAsia="Calibri" w:cs="Calibri"/>
          <w:i/>
          <w:iCs/>
          <w:color w:val="000000"/>
          <w:sz w:val="22"/>
          <w:szCs w:val="22"/>
        </w:rPr>
        <w:t xml:space="preserve">Bulletin of the Government Forest Experiment Station, Meguro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184</w:t>
      </w:r>
      <w:r>
        <w:rPr>
          <w:rFonts w:ascii="Calibri" w:hAnsi="Calibri" w:eastAsia="Calibri" w:cs="Calibri"/>
          <w:color w:val="000000"/>
          <w:sz w:val="22"/>
          <w:szCs w:val="22"/>
        </w:rPr>
        <w:t xml:space="preserve">, 79 pp.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both"/>
      </w:pPr>
      <w:r>
        <w:rPr>
          <w:rFonts w:ascii="Calibri" w:hAnsi="Calibri" w:eastAsia="Calibri" w:cs="Calibri"/>
          <w:color w:val="000000"/>
          <w:sz w:val="22"/>
          <w:szCs w:val="22"/>
        </w:rPr>
        <w:t xml:space="preserve">This datasheet was extensively revised in 2021 by Yukako Hattori, Forestry and Forest Products Research Institute (FFPRI), Japan Society for the Promotion of Science (JSPS).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Neofusicoccum laricinum</w:t>
      </w:r>
      <w:r>
        <w:rPr>
          <w:rFonts w:ascii="Calibri" w:hAnsi="Calibri" w:eastAsia="Calibri" w:cs="Calibri"/>
          <w:color w:val="000000"/>
          <w:sz w:val="22"/>
          <w:szCs w:val="22"/>
        </w:rPr>
        <w:t xml:space="preserve">. EPPO datasheets on pests recommended for regulation. Available online. </w:t>
      </w:r>
      <w:hyperlink r:id="rId4710699430fa5d12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1978,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Data sheets on quarantine organisms No. 12, </w:t>
      </w:r>
      <w:r>
        <w:rPr>
          <w:rFonts w:ascii="Calibri" w:hAnsi="Calibri" w:eastAsia="Calibri" w:cs="Calibri"/>
          <w:i/>
          <w:iCs/>
          <w:color w:val="000000"/>
          <w:sz w:val="22"/>
          <w:szCs w:val="22"/>
        </w:rPr>
        <w:t xml:space="preserve">Guignardia laricina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2 pp.</w:t>
      </w:r>
      <w:hyperlink r:id="rId1592699430fa5d29a" w:history="1">
        <w:r>
          <w:rPr>
            <w:rFonts w:ascii="Calibri" w:hAnsi="Calibri" w:eastAsia="Calibri" w:cs="Calibri"/>
            <w:color w:val="0000CC"/>
            <w:sz w:val="22"/>
            <w:szCs w:val="22"/>
            <w:u w:val="single"/>
          </w:rPr>
          <w:t xml:space="preserve">https://doi.org/10.1111/j.1365-2338.1978.tb02759.x</w:t>
        </w:r>
      </w:hyperlink>
      <w:r>
        <w:rPr>
          <w:rFonts w:ascii="Calibri" w:hAnsi="Calibri" w:eastAsia="Calibri" w:cs="Calibri"/>
          <w:color w:val="000000"/>
          <w:sz w:val="22"/>
          <w:szCs w:val="22"/>
        </w:rPr>
        <w:t xml:space="preserve"> </w:t>
      </w:r>
    </w:p>
    <w:p>
      <w:r>
        <w:drawing>
          <wp:inline distT="0" distB="0" distL="0" distR="0">
            <wp:extent cx="1800000" cy="604800"/>
            <wp:docPr id="9990268" name="name2011699430fa5d32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245699430fa5d32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366937">
    <w:multiLevelType w:val="hybridMultilevel"/>
    <w:lvl w:ilvl="0" w:tplc="59805772">
      <w:start w:val="1"/>
      <w:numFmt w:val="decimal"/>
      <w:lvlText w:val="%1."/>
      <w:lvlJc w:val="left"/>
      <w:pPr>
        <w:ind w:left="720" w:hanging="360"/>
      </w:pPr>
    </w:lvl>
    <w:lvl w:ilvl="1" w:tplc="59805772" w:tentative="1">
      <w:start w:val="1"/>
      <w:numFmt w:val="lowerLetter"/>
      <w:lvlText w:val="%2."/>
      <w:lvlJc w:val="left"/>
      <w:pPr>
        <w:ind w:left="1440" w:hanging="360"/>
      </w:pPr>
    </w:lvl>
    <w:lvl w:ilvl="2" w:tplc="59805772" w:tentative="1">
      <w:start w:val="1"/>
      <w:numFmt w:val="lowerRoman"/>
      <w:lvlText w:val="%3."/>
      <w:lvlJc w:val="right"/>
      <w:pPr>
        <w:ind w:left="2160" w:hanging="180"/>
      </w:pPr>
    </w:lvl>
    <w:lvl w:ilvl="3" w:tplc="59805772" w:tentative="1">
      <w:start w:val="1"/>
      <w:numFmt w:val="decimal"/>
      <w:lvlText w:val="%4."/>
      <w:lvlJc w:val="left"/>
      <w:pPr>
        <w:ind w:left="2880" w:hanging="360"/>
      </w:pPr>
    </w:lvl>
    <w:lvl w:ilvl="4" w:tplc="59805772" w:tentative="1">
      <w:start w:val="1"/>
      <w:numFmt w:val="lowerLetter"/>
      <w:lvlText w:val="%5."/>
      <w:lvlJc w:val="left"/>
      <w:pPr>
        <w:ind w:left="3600" w:hanging="360"/>
      </w:pPr>
    </w:lvl>
    <w:lvl w:ilvl="5" w:tplc="59805772" w:tentative="1">
      <w:start w:val="1"/>
      <w:numFmt w:val="lowerRoman"/>
      <w:lvlText w:val="%6."/>
      <w:lvlJc w:val="right"/>
      <w:pPr>
        <w:ind w:left="4320" w:hanging="180"/>
      </w:pPr>
    </w:lvl>
    <w:lvl w:ilvl="6" w:tplc="59805772" w:tentative="1">
      <w:start w:val="1"/>
      <w:numFmt w:val="decimal"/>
      <w:lvlText w:val="%7."/>
      <w:lvlJc w:val="left"/>
      <w:pPr>
        <w:ind w:left="5040" w:hanging="360"/>
      </w:pPr>
    </w:lvl>
    <w:lvl w:ilvl="7" w:tplc="59805772" w:tentative="1">
      <w:start w:val="1"/>
      <w:numFmt w:val="lowerLetter"/>
      <w:lvlText w:val="%8."/>
      <w:lvlJc w:val="left"/>
      <w:pPr>
        <w:ind w:left="5760" w:hanging="360"/>
      </w:pPr>
    </w:lvl>
    <w:lvl w:ilvl="8" w:tplc="59805772" w:tentative="1">
      <w:start w:val="1"/>
      <w:numFmt w:val="lowerRoman"/>
      <w:lvlText w:val="%9."/>
      <w:lvlJc w:val="right"/>
      <w:pPr>
        <w:ind w:left="6480" w:hanging="180"/>
      </w:pPr>
    </w:lvl>
  </w:abstractNum>
  <w:abstractNum w:abstractNumId="12366936">
    <w:multiLevelType w:val="hybridMultilevel"/>
    <w:lvl w:ilvl="0" w:tplc="8523596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2366936">
    <w:abstractNumId w:val="12366936"/>
  </w:num>
  <w:num w:numId="12366937">
    <w:abstractNumId w:val="1236693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70483349" Type="http://schemas.microsoft.com/office/2011/relationships/commentsExtended" Target="commentsExtended.xml"/><Relationship Id="rId699668034" Type="http://schemas.microsoft.com/office/2011/relationships/people" Target="people.xml"/><Relationship Id="rId5436699430fa5b049" Type="http://schemas.openxmlformats.org/officeDocument/2006/relationships/hyperlink" Target="https://gd.eppo.int/taxon/GUIGLA/" TargetMode="External"/><Relationship Id="rId2898699430fa5b0b3" Type="http://schemas.openxmlformats.org/officeDocument/2006/relationships/hyperlink" Target="https://gd.eppo.int/taxon/GUIGLA/categorization" TargetMode="External"/><Relationship Id="rId9290699430fa5b312" Type="http://schemas.openxmlformats.org/officeDocument/2006/relationships/hyperlink" Target="https://gd.eppo.int/taxon/GUIGLA/photos" TargetMode="External"/><Relationship Id="rId4427699430fa5caf4" Type="http://schemas.openxmlformats.org/officeDocument/2006/relationships/hyperlink" Target="https://doi.org/10.2903/j.efsa.2018.5303" TargetMode="External"/><Relationship Id="rId4710699430fa5d12c" Type="http://schemas.openxmlformats.org/officeDocument/2006/relationships/hyperlink" Target="https://gd.eppo.int" TargetMode="External"/><Relationship Id="rId1592699430fa5d29a" Type="http://schemas.openxmlformats.org/officeDocument/2006/relationships/hyperlink" Target="https://doi.org/10.1111/j.1365-2338.1978.tb02759.x" TargetMode="External"/><Relationship Id="rId1488699430fa5b1d2" Type="http://schemas.openxmlformats.org/officeDocument/2006/relationships/image" Target="media/imgrId1488699430fa5b1d2.jpg"/><Relationship Id="rId2003699430fa5c25b" Type="http://schemas.openxmlformats.org/officeDocument/2006/relationships/image" Target="media/imgrId2003699430fa5c25b.jpg"/><Relationship Id="rId9245699430fa5d323" Type="http://schemas.openxmlformats.org/officeDocument/2006/relationships/image" Target="media/imgrId9245699430fa5d32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