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Gonipterus scutellatus species complex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Gonipterus scutellatus species complex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Gonipterinae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eucalyptus snout beetle, eucalyptus weevil, gum-tree weevil</w:t>
            </w:r>
            <w:hyperlink r:id="rId69686627668a5bdc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6336627668a5be6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GONPSC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128187" name="name94116627668a5c207" descr="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jpg"/>
                          <pic:cNvPicPr/>
                        </pic:nvPicPr>
                        <pic:blipFill>
                          <a:blip r:embed="rId62316627668a5c205" cstate="print"/>
                          <a:stretch>
                            <a:fillRect/>
                          </a:stretch>
                        </pic:blipFill>
                        <pic:spPr>
                          <a:xfrm>
                            <a:off x="0" y="0"/>
                            <a:ext cx="2160000" cy="1281600"/>
                          </a:xfrm>
                          <a:prstGeom prst="rect">
                            <a:avLst/>
                          </a:prstGeom>
                          <a:ln w="0">
                            <a:noFill/>
                          </a:ln>
                        </pic:spPr>
                      </pic:pic>
                    </a:graphicData>
                  </a:graphic>
                </wp:inline>
              </w:drawing>
            </w:r>
            <w:hyperlink r:id="rId34476627668a5c30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has a history of taxonomic confusion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once thought to be a single species, is recognized as part of a cryptic species complex comprising at least eight different species (</w:t>
      </w:r>
      <w:r>
        <w:rPr>
          <w:rFonts w:ascii="Calibri" w:hAnsi="Calibri" w:eastAsia="Calibri" w:cs="Calibri"/>
          <w:i/>
          <w:iCs/>
          <w:color w:val="000000"/>
          <w:sz w:val="22"/>
          <w:szCs w:val="22"/>
        </w:rPr>
        <w:t xml:space="preserve">G. balteatus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platensis,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pulverulentus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 n. 1–4)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Three species within the </w:t>
      </w:r>
      <w:r>
        <w:rPr>
          <w:rFonts w:ascii="Calibri" w:hAnsi="Calibri" w:eastAsia="Calibri" w:cs="Calibri"/>
          <w:i/>
          <w:iCs/>
          <w:color w:val="000000"/>
          <w:sz w:val="22"/>
          <w:szCs w:val="22"/>
        </w:rPr>
        <w:t xml:space="preserve">G. scutellatus </w:t>
      </w:r>
      <w:r>
        <w:rPr>
          <w:rFonts w:ascii="Calibri" w:hAnsi="Calibri" w:eastAsia="Calibri" w:cs="Calibri"/>
          <w:color w:val="000000"/>
          <w:sz w:val="22"/>
          <w:szCs w:val="22"/>
        </w:rPr>
        <w:t xml:space="preserve">complex are invasive pests:</w:t>
      </w:r>
      <w:r>
        <w:rPr>
          <w:rFonts w:ascii="Calibri" w:hAnsi="Calibri" w:eastAsia="Calibri" w:cs="Calibri"/>
          <w:i/>
          <w:iCs/>
          <w:color w:val="000000"/>
          <w:sz w:val="22"/>
          <w:szCs w:val="22"/>
        </w:rPr>
        <w:t xml:space="preserve"> G. platensis, G. pulverulentus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has not been recorded outside of its native range (Tasmania).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have been reported as hosts of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with varying degrees of susceptibility (Mally, 1924; Tooke, 1955; Richardson &amp; Meakins, 1986; Newete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most susceptible species are </w:t>
      </w:r>
      <w:r>
        <w:rPr>
          <w:rFonts w:ascii="Calibri" w:hAnsi="Calibri" w:eastAsia="Calibri" w:cs="Calibri"/>
          <w:i/>
          <w:iCs/>
          <w:color w:val="000000"/>
          <w:sz w:val="22"/>
          <w:szCs w:val="22"/>
        </w:rPr>
        <w:t xml:space="preserve">E.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maidenii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punctata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viminalis, E. dunnii, E. ovata, E. urophylla,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grandis</w:t>
      </w:r>
      <w:r>
        <w:rPr>
          <w:rFonts w:ascii="Calibri" w:hAnsi="Calibri" w:eastAsia="Calibri" w:cs="Calibri"/>
          <w:color w:val="000000"/>
          <w:sz w:val="22"/>
          <w:szCs w:val="22"/>
        </w:rPr>
        <w:t xml:space="preserve">. Host associations vary between species of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recent study in Tasmania found </w:t>
      </w:r>
      <w:r>
        <w:rPr>
          <w:rFonts w:ascii="Calibri" w:hAnsi="Calibri" w:eastAsia="Calibri" w:cs="Calibri"/>
          <w:i/>
          <w:iCs/>
          <w:color w:val="000000"/>
          <w:sz w:val="22"/>
          <w:szCs w:val="22"/>
        </w:rPr>
        <w:t xml:space="preserve">G. platensis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pulverulentus </w:t>
      </w:r>
      <w:r>
        <w:rPr>
          <w:rFonts w:ascii="Calibri" w:hAnsi="Calibri" w:eastAsia="Calibri" w:cs="Calibri"/>
          <w:color w:val="000000"/>
          <w:sz w:val="22"/>
          <w:szCs w:val="22"/>
        </w:rPr>
        <w:t xml:space="preserve">have similar host associations, mainly occurring on </w:t>
      </w:r>
      <w:r>
        <w:rPr>
          <w:rFonts w:ascii="Calibri" w:hAnsi="Calibri" w:eastAsia="Calibri" w:cs="Calibri"/>
          <w:i/>
          <w:iCs/>
          <w:color w:val="000000"/>
          <w:sz w:val="22"/>
          <w:szCs w:val="22"/>
        </w:rPr>
        <w:t xml:space="preserve">E. ovata</w:t>
      </w:r>
      <w:r>
        <w:rPr>
          <w:rFonts w:ascii="Calibri" w:hAnsi="Calibri" w:eastAsia="Calibri" w:cs="Calibri"/>
          <w:color w:val="000000"/>
          <w:sz w:val="22"/>
          <w:szCs w:val="22"/>
        </w:rPr>
        <w:t xml:space="preserve"> and small numbers of </w:t>
      </w:r>
      <w:r>
        <w:rPr>
          <w:rFonts w:ascii="Calibri" w:hAnsi="Calibri" w:eastAsia="Calibri" w:cs="Calibri"/>
          <w:i/>
          <w:iCs/>
          <w:color w:val="000000"/>
          <w:sz w:val="22"/>
          <w:szCs w:val="22"/>
        </w:rPr>
        <w:t xml:space="preserve">G. platensis </w:t>
      </w:r>
      <w:r>
        <w:rPr>
          <w:rFonts w:ascii="Calibri" w:hAnsi="Calibri" w:eastAsia="Calibri" w:cs="Calibri"/>
          <w:color w:val="000000"/>
          <w:sz w:val="22"/>
          <w:szCs w:val="22"/>
        </w:rPr>
        <w:t xml:space="preserve">were recorded from </w:t>
      </w:r>
      <w:r>
        <w:rPr>
          <w:rFonts w:ascii="Calibri" w:hAnsi="Calibri" w:eastAsia="Calibri" w:cs="Calibri"/>
          <w:i/>
          <w:iCs/>
          <w:color w:val="000000"/>
          <w:sz w:val="22"/>
          <w:szCs w:val="22"/>
        </w:rPr>
        <w:t xml:space="preserve">E. globulus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viminalis </w:t>
      </w:r>
      <w:r>
        <w:rPr>
          <w:rFonts w:ascii="Calibri" w:hAnsi="Calibri" w:eastAsia="Calibri" w:cs="Calibri"/>
          <w:color w:val="000000"/>
          <w:sz w:val="22"/>
          <w:szCs w:val="22"/>
        </w:rPr>
        <w:t xml:space="preserve">(Garcia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smithii, E. grandis, E. urophylla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viminalis </w:t>
      </w:r>
      <w:r>
        <w:rPr>
          <w:rFonts w:ascii="Calibri" w:hAnsi="Calibri" w:eastAsia="Calibri" w:cs="Calibri"/>
          <w:color w:val="000000"/>
          <w:sz w:val="22"/>
          <w:szCs w:val="22"/>
        </w:rPr>
        <w:t xml:space="preserve">were found to be amongst the most susceptible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species for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in South Africa (Newete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spp. are economically important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amplifolia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amygdalina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benthamii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blakelyi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bosistoana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bridgesiana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conspicua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dalrympleana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deanei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dunnii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exserta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foecunda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 subsp. maidenii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goniocalyx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loxophleba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mannifera subsp.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melanophloia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melliodora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microcorys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microtheca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morrisbyi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nicholii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ovata subsp.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pauciflora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platypus subsp. 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propinqua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redunca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tereticornis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urnigera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x kirtoniana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originates in south-eastern Australia and has spread with its hosts to many parts of the world. The three invasive species, </w:t>
      </w:r>
      <w:r>
        <w:rPr>
          <w:rFonts w:ascii="Calibri" w:hAnsi="Calibri" w:eastAsia="Calibri" w:cs="Calibri"/>
          <w:i/>
          <w:iCs/>
          <w:color w:val="000000"/>
          <w:sz w:val="22"/>
          <w:szCs w:val="22"/>
        </w:rPr>
        <w:t xml:space="preserve">G. platensis, G. pulverulentus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differ in their native and invasive distribution ranges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the EPPO region, </w:t>
      </w:r>
      <w:r>
        <w:rPr>
          <w:rFonts w:ascii="Calibri" w:hAnsi="Calibri" w:eastAsia="Calibri" w:cs="Calibri"/>
          <w:i/>
          <w:iCs/>
          <w:color w:val="000000"/>
          <w:sz w:val="22"/>
          <w:szCs w:val="22"/>
        </w:rPr>
        <w:t xml:space="preserve">G. platensis</w:t>
      </w:r>
      <w:r>
        <w:rPr>
          <w:rFonts w:ascii="Calibri" w:hAnsi="Calibri" w:eastAsia="Calibri" w:cs="Calibri"/>
          <w:color w:val="000000"/>
          <w:sz w:val="22"/>
          <w:szCs w:val="22"/>
        </w:rPr>
        <w:t xml:space="preserve"> is present in Portugal and Spain and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 n. 2 in France and Italy.</w:t>
      </w:r>
    </w:p>
    <w:p>
      <w:r>
        <w:drawing>
          <wp:inline distT="0" distB="0" distL="0" distR="0">
            <wp:extent cx="6120000" cy="3067200"/>
            <wp:docPr id="79773306" name="name78216627668a5db2c" descr="GONPS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PSC_distribution_map.jpg"/>
                    <pic:cNvPicPr/>
                  </pic:nvPicPr>
                  <pic:blipFill>
                    <a:blip r:embed="rId37086627668a5db2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Italy (mainland, Sicilia), Portugal (mainland, Azores),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Lesotho, Madagascar, Malawi, Mauritius, Mozambique, Rwanda, Saint Helena, South Africa, Tanzania, Uganda, Zimbabwe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(Espirito Santo, Parana, Rio Grande do Sul, Santa Catarina, Sao Paulo), Chile, Colombia,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belonging to the </w:t>
      </w:r>
      <w:r>
        <w:rPr>
          <w:rFonts w:ascii="Calibri" w:hAnsi="Calibri" w:eastAsia="Calibri" w:cs="Calibri"/>
          <w:i/>
          <w:iCs/>
          <w:color w:val="000000"/>
          <w:sz w:val="22"/>
          <w:szCs w:val="22"/>
        </w:rPr>
        <w:t xml:space="preserve">G. scutellatus </w:t>
      </w:r>
      <w:r>
        <w:rPr>
          <w:rFonts w:ascii="Calibri" w:hAnsi="Calibri" w:eastAsia="Calibri" w:cs="Calibri"/>
          <w:color w:val="000000"/>
          <w:sz w:val="22"/>
          <w:szCs w:val="22"/>
        </w:rPr>
        <w:t xml:space="preserve">species complex is of little economic importance in their native range in Australia but are significant pests of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in the invasive range. Eggs are attached to leaves in clusters of four to sixteen eggs and covered with a frass excrement to form a capsule. Females mate several times and continue to oviposit throughout a lifetime of about 60 - 91 days. A female produces between 20 and 33 egg capsules in her lifetime.   Incubation is temperature dependent and can take one to two weeks to complete. There are four larval stages which are covered in sticky slime that keeps them adhered to the leaves. Larval development takes 4-6 weeks to complete. Adults and larvae feed on leaves. The mature larvae drop to the ground where pupation occurs in cells about 5 cm deep in the soil. Pupation takes 30-40 days to complete. The sex ratio is about 1:1 and females can mate with several males. In the laboratory, adults mated 4-9 days after emergence, and began to lay eggs after a further 13-21 days. Development is temperature dependent and the beetles take 2-3 months to complete the entire life cycle. There are about four generations annually in Mauritius, continuing throughout the year. In South Africa there are 2 to 2.5 generations and overwintering occur in the adult and pupal stage. In Italy two generations are recorded and between 1 and 3 generations occur in Spain.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on the biology of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see Mally (1924), Moutia &amp; Vinson (1945), Tooke (1955), Leyva (1969 &amp; 1970), Arzone &amp; Meotto (1978), Santolamazza-Carbone &amp; Rivera 1998, Santolamazza-Carbone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beetles feed on the edges of the leaves resulting in a characteristically scalloped appearance. The larvae feed on the epidermis and mesophyll of the young leaves causing tracks the width of the larvae in the leaves and mature larvae will consume entire leaves. Feeding damage results in defoliation of the tree crown, dieback of shoot tips and development of tufts of epicormics. Successive defoliations produce stunting and a stag-headed appearance. Trees may split and die. Adults tend to feed on the leaves and soft bark of young shoots while larval damage occurs on the leaves alone (Moutia &amp; Vinson, 1945; Kevan, 1964; Leyva, 1969;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capsules are grey to brown containing clusters of yellow eggs. An egg capsule contain four to sixteen eggs, attached to the leaves on both surfaces (Mally, 1924; Tooke, 1955). The egg capsules vary in size and measure 1 - 3 mm in length, 1 – 1.5 mm in width and 1 - 2 mm in height (Tooke, 1955).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of the larvae is black and the body is yellowish-green with black shield like spots on each segment and dark lateral stripes. Larvae are covered in a sticky slime (Tooke, 1955.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7.5 - 9.4 mm grey-brown weevil, with a black x-shaped marking on the elytra and a white scutellar stripe, often extending to the head (Tooke, 1955; EFSA, 2018). These markings may fade with the age of the beetle and vary between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leaf material for the presence of feeding damage, egg capsules or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up to genus level can be done using morphological characteristics. The morphology of the male genitalia and DNA barcoding techniques are used for species identification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of entry are natural spread by flight, trade in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timber and trade of plants for planting and cut branches for floral arrangements and hitchhiking (EFSA, 2018).   Adults, larvae and eggs may be carried on planting material. Larvae and pupae could be present in accompanying soil. Hitchhiking on apple consignments imported into South Africa from Australia has been suggested as a pathway for movement (EFSA, 2018, citing Mally, 1924; Clark, 1931; Tooke, 1955). In Australia and New Zealand, infestations of apple orchards by adults necessitates the need for control measures before the commodity is exported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introduced range, this pest has become an important defoliator of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causing significant reduction in wood production and tree death (Tooke, 1955;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Damage to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plantations have been significantly reduced due to the introduction of the biological control agent </w:t>
      </w:r>
      <w:r>
        <w:rPr>
          <w:rFonts w:ascii="Calibri" w:hAnsi="Calibri" w:eastAsia="Calibri" w:cs="Calibri"/>
          <w:i/>
          <w:iCs/>
          <w:color w:val="000000"/>
          <w:sz w:val="22"/>
          <w:szCs w:val="22"/>
        </w:rPr>
        <w:t xml:space="preserve">Anaphes nitens </w:t>
      </w:r>
      <w:r>
        <w:rPr>
          <w:rFonts w:ascii="Calibri" w:hAnsi="Calibri" w:eastAsia="Calibri" w:cs="Calibri"/>
          <w:color w:val="000000"/>
          <w:sz w:val="22"/>
          <w:szCs w:val="22"/>
        </w:rPr>
        <w:t xml:space="preserve">(Tooke, 1955; Hanks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Despite the initial success of the biological control program for this pest it remains an important economic pest with outbreaks sporadically observed in many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producing countries (Tooke, 1955; Loch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Defoliation of the upper crown reduces stem growth and can result in merchantable wood loss of up to 86 % over a ten-year growing period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eucalyptus snout beetle continues to spread and has recently invaded Colombia (Rodas, 2018) and Rwanda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control agent </w:t>
      </w:r>
      <w:r>
        <w:rPr>
          <w:rFonts w:ascii="Calibri" w:hAnsi="Calibri" w:eastAsia="Calibri" w:cs="Calibri"/>
          <w:i/>
          <w:iCs/>
          <w:color w:val="000000"/>
          <w:sz w:val="22"/>
          <w:szCs w:val="22"/>
        </w:rPr>
        <w:t xml:space="preserve">A. nitens </w:t>
      </w:r>
      <w:r>
        <w:rPr>
          <w:rFonts w:ascii="Calibri" w:hAnsi="Calibri" w:eastAsia="Calibri" w:cs="Calibri"/>
          <w:color w:val="000000"/>
          <w:sz w:val="22"/>
          <w:szCs w:val="22"/>
        </w:rPr>
        <w:t xml:space="preserve">has been released globally as a control measure against the eucalyptus snout beetle. Successful control with </w:t>
      </w:r>
      <w:r>
        <w:rPr>
          <w:rFonts w:ascii="Calibri" w:hAnsi="Calibri" w:eastAsia="Calibri" w:cs="Calibri"/>
          <w:i/>
          <w:iCs/>
          <w:color w:val="000000"/>
          <w:sz w:val="22"/>
          <w:szCs w:val="22"/>
        </w:rPr>
        <w:t xml:space="preserve">A. nitens</w:t>
      </w:r>
      <w:r>
        <w:rPr>
          <w:rFonts w:ascii="Calibri" w:hAnsi="Calibri" w:eastAsia="Calibri" w:cs="Calibri"/>
          <w:color w:val="000000"/>
          <w:sz w:val="22"/>
          <w:szCs w:val="22"/>
        </w:rPr>
        <w:t xml:space="preserve"> is claimed in France and Italy (Cadahia, 1986). In addition to </w:t>
      </w:r>
      <w:r>
        <w:rPr>
          <w:rFonts w:ascii="Calibri" w:hAnsi="Calibri" w:eastAsia="Calibri" w:cs="Calibri"/>
          <w:i/>
          <w:iCs/>
          <w:color w:val="000000"/>
          <w:sz w:val="22"/>
          <w:szCs w:val="22"/>
        </w:rPr>
        <w:t xml:space="preserve">A. nitens, A. tasmaniae </w:t>
      </w:r>
      <w:r>
        <w:rPr>
          <w:rFonts w:ascii="Calibri" w:hAnsi="Calibri" w:eastAsia="Calibri" w:cs="Calibri"/>
          <w:color w:val="000000"/>
          <w:sz w:val="22"/>
          <w:szCs w:val="22"/>
        </w:rPr>
        <w:t xml:space="preserve">was released in Chile and </w:t>
      </w:r>
      <w:r>
        <w:rPr>
          <w:rFonts w:ascii="Calibri" w:hAnsi="Calibri" w:eastAsia="Calibri" w:cs="Calibri"/>
          <w:i/>
          <w:iCs/>
          <w:color w:val="000000"/>
          <w:sz w:val="22"/>
          <w:szCs w:val="22"/>
        </w:rPr>
        <w:t xml:space="preserve">A. inexpectatus </w:t>
      </w:r>
      <w:r>
        <w:rPr>
          <w:rFonts w:ascii="Calibri" w:hAnsi="Calibri" w:eastAsia="Calibri" w:cs="Calibri"/>
          <w:color w:val="000000"/>
          <w:sz w:val="22"/>
          <w:szCs w:val="22"/>
        </w:rPr>
        <w:t xml:space="preserve">in Portugal and Spain (Mayorga, 2013; Valente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 is not recommended because of low efficacy, adverse environmental effects and increased production cost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is considered a phytosanitary risk to the EPPO region due to its polyphagous feeding habits and economic damage associated with feeding.   Severe defoliation of hosts can reduce the volume of wood that can be sold.  In the EPPO region, countries such as Spain have large productive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E. globulus </w:t>
      </w:r>
      <w:r>
        <w:rPr>
          <w:rFonts w:ascii="Calibri" w:hAnsi="Calibri" w:eastAsia="Calibri" w:cs="Calibri"/>
          <w:color w:val="000000"/>
          <w:sz w:val="22"/>
          <w:szCs w:val="22"/>
        </w:rPr>
        <w:t xml:space="preserve">is the dominant species in northern and north-western Spain.</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poses a threat to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in place for the trade of plants. Countries importing propagating material and cut branches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have to ensure the consignment is free from soil and has been subjected to a treatment against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or that it comes from an area where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does not occur. Countries may require a phytosanitary certificate for cut branches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Arzone A &amp; Meotto F (1978) [Biological findings on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 Curculionidae) infesting eucalyptus trees on the Ligurian riviera].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205-222.</w:t>
      </w:r>
    </w:p>
    <w:p>
      <w:pPr>
        <w:widowControl w:val="on"/>
        <w:pBdr/>
        <w:spacing w:before="220" w:after="220" w:line="240" w:lineRule="auto"/>
        <w:ind w:left="0" w:right="0"/>
        <w:jc w:val="left"/>
      </w:pPr>
      <w:r>
        <w:rPr>
          <w:rFonts w:ascii="Calibri" w:hAnsi="Calibri" w:eastAsia="Calibri" w:cs="Calibri"/>
          <w:color w:val="000000"/>
          <w:sz w:val="22"/>
          <w:szCs w:val="22"/>
        </w:rPr>
        <w:t xml:space="preserve">Cadahia D (1986) The importance of insect pests in the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265-283.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AF (1931) The parasite control of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New Zealand Journal of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 Allen GR, Oberprieler RG, Ramos AP, Valente C, Reis A, Franco JC &amp; Branco M (2019) Biological control of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Uncovering the associations between eucalypts, weevils and parasitoids in their native range.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106-116.</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 AL (1959) A list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species known to be attacked by the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Empire Forestry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200-201.</w:t>
      </w:r>
    </w:p>
    <w:p>
      <w:pPr>
        <w:widowControl w:val="on"/>
        <w:pBdr/>
        <w:spacing w:before="220" w:after="220" w:line="240" w:lineRule="auto"/>
        <w:ind w:left="0" w:right="0"/>
        <w:jc w:val="left"/>
      </w:pPr>
      <w:r>
        <w:rPr>
          <w:rFonts w:ascii="Calibri" w:hAnsi="Calibri" w:eastAsia="Calibri" w:cs="Calibri"/>
          <w:color w:val="000000"/>
          <w:sz w:val="22"/>
          <w:szCs w:val="22"/>
        </w:rPr>
        <w:t xml:space="preserve">Hanks LM, Millar JG, Paine TD &amp; Campbell CD (2000) Classical biological control of the Australian weevil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(Coleoptera:Curculionidae) in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369-375.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Miret J, Anton J, MacLeod A, Navarro MN, Niere B, Parnell S, Potting R, Rafoss T, Rossi V, Urek G, Van Bruggen A, Van der Werf W, West J, Winter S, Santolamazza-Carbone S, Kertesz V, Aukhojee M &amp; Grégoire J-C (2018) Scientific opinion on the pest categorisation of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1-34. </w:t>
      </w:r>
      <w:hyperlink r:id="rId42706627668a5eb3c" w:history="1">
        <w:r>
          <w:rPr>
            <w:rFonts w:ascii="Calibri" w:hAnsi="Calibri" w:eastAsia="Calibri" w:cs="Calibri"/>
            <w:color w:val="0000CC"/>
            <w:sz w:val="22"/>
            <w:szCs w:val="22"/>
            <w:u w:val="single"/>
          </w:rPr>
          <w:t xml:space="preserve">https://doi.org/10.2903/j.efsa.2018.5107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Kevan DK (1964) The eucalyptus weevil in East Africa.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40-44.</w:t>
      </w:r>
    </w:p>
    <w:p>
      <w:pPr>
        <w:widowControl w:val="on"/>
        <w:pBdr/>
        <w:spacing w:before="220" w:after="220" w:line="240" w:lineRule="auto"/>
        <w:ind w:left="0" w:right="0"/>
        <w:jc w:val="left"/>
      </w:pPr>
      <w:r>
        <w:rPr>
          <w:rFonts w:ascii="Calibri" w:hAnsi="Calibri" w:eastAsia="Calibri" w:cs="Calibri"/>
          <w:color w:val="000000"/>
          <w:sz w:val="22"/>
          <w:szCs w:val="22"/>
        </w:rPr>
        <w:t xml:space="preserve">Leyva E (1969) [Present situation of the pests 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 world-wide].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24</w:t>
      </w:r>
      <w:r>
        <w:rPr>
          <w:rFonts w:ascii="Calibri" w:hAnsi="Calibri" w:eastAsia="Calibri" w:cs="Calibri"/>
          <w:color w:val="000000"/>
          <w:sz w:val="22"/>
          <w:szCs w:val="22"/>
        </w:rPr>
        <w:t xml:space="preserve">, 119-128.</w:t>
      </w:r>
    </w:p>
    <w:p>
      <w:pPr>
        <w:widowControl w:val="on"/>
        <w:pBdr/>
        <w:spacing w:before="220" w:after="220" w:line="240" w:lineRule="auto"/>
        <w:ind w:left="0" w:right="0"/>
        <w:jc w:val="left"/>
      </w:pPr>
      <w:r>
        <w:rPr>
          <w:rFonts w:ascii="Calibri" w:hAnsi="Calibri" w:eastAsia="Calibri" w:cs="Calibri"/>
          <w:color w:val="000000"/>
          <w:sz w:val="22"/>
          <w:szCs w:val="22"/>
        </w:rPr>
        <w:t xml:space="preserve">Leyva E (1970) [Present situation of the pests 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 world-wide].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25</w:t>
      </w:r>
      <w:r>
        <w:rPr>
          <w:rFonts w:ascii="Calibri" w:hAnsi="Calibri" w:eastAsia="Calibri" w:cs="Calibri"/>
          <w:color w:val="000000"/>
          <w:sz w:val="22"/>
          <w:szCs w:val="22"/>
        </w:rPr>
        <w:t xml:space="preserve">, 67-80.</w:t>
      </w:r>
    </w:p>
    <w:p>
      <w:pPr>
        <w:widowControl w:val="on"/>
        <w:pBdr/>
        <w:spacing w:before="220" w:after="220" w:line="240" w:lineRule="auto"/>
        <w:ind w:left="0" w:right="0"/>
        <w:jc w:val="left"/>
      </w:pPr>
      <w:r>
        <w:rPr>
          <w:rFonts w:ascii="Calibri" w:hAnsi="Calibri" w:eastAsia="Calibri" w:cs="Calibri"/>
          <w:color w:val="000000"/>
          <w:sz w:val="22"/>
          <w:szCs w:val="22"/>
        </w:rPr>
        <w:t xml:space="preserve">Loch AD (2006) Phenology of Eucalyptus weevil,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Gyllenhal (Coleoptera: Curculionidae), and chrysomelid beetles in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plantations in south-western Australia.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Mapondera TS, Burgess T, Matsuki M &amp; Oberprieler RG (2012) Identification and molecular phylogenetics of the cryptic species of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complex (Coleoptera: Curculionidae: Gonipterini). </w:t>
      </w:r>
      <w:r>
        <w:rPr>
          <w:rFonts w:ascii="Calibri" w:hAnsi="Calibri" w:eastAsia="Calibri" w:cs="Calibri"/>
          <w:i/>
          <w:iCs/>
          <w:color w:val="000000"/>
          <w:sz w:val="22"/>
          <w:szCs w:val="22"/>
        </w:rPr>
        <w:t xml:space="preserve">Austral Entomology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175-188.</w:t>
      </w:r>
    </w:p>
    <w:p>
      <w:pPr>
        <w:widowControl w:val="on"/>
        <w:pBdr/>
        <w:spacing w:before="220" w:after="220" w:line="240" w:lineRule="auto"/>
        <w:ind w:left="0" w:right="0"/>
        <w:jc w:val="left"/>
      </w:pPr>
      <w:r>
        <w:rPr>
          <w:rFonts w:ascii="Calibri" w:hAnsi="Calibri" w:eastAsia="Calibri" w:cs="Calibri"/>
          <w:color w:val="000000"/>
          <w:sz w:val="22"/>
          <w:szCs w:val="22"/>
        </w:rPr>
        <w:t xml:space="preserve">Mally CW (1924) The eucalyptus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Journal Department of Agriculture for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415-442.</w:t>
      </w:r>
    </w:p>
    <w:p>
      <w:pPr>
        <w:widowControl w:val="on"/>
        <w:pBdr/>
        <w:spacing w:before="220" w:after="220" w:line="240" w:lineRule="auto"/>
        <w:ind w:left="0" w:right="0"/>
        <w:jc w:val="left"/>
      </w:pPr>
      <w:r>
        <w:rPr>
          <w:rFonts w:ascii="Calibri" w:hAnsi="Calibri" w:eastAsia="Calibri" w:cs="Calibri"/>
          <w:color w:val="000000"/>
          <w:sz w:val="22"/>
          <w:szCs w:val="22"/>
        </w:rPr>
        <w:t xml:space="preserve">Mayorga SEI (2013) Anaphes tasmaniae, parasitoid of </w:t>
      </w:r>
      <w:r>
        <w:rPr>
          <w:rFonts w:ascii="Calibri" w:hAnsi="Calibri" w:eastAsia="Calibri" w:cs="Calibri"/>
          <w:i/>
          <w:iCs/>
          <w:color w:val="000000"/>
          <w:sz w:val="22"/>
          <w:szCs w:val="22"/>
        </w:rPr>
        <w:t xml:space="preserve">Gonipterus platensis </w:t>
      </w:r>
      <w:r>
        <w:rPr>
          <w:rFonts w:ascii="Calibri" w:hAnsi="Calibri" w:eastAsia="Calibri" w:cs="Calibri"/>
          <w:color w:val="000000"/>
          <w:sz w:val="22"/>
          <w:szCs w:val="22"/>
        </w:rPr>
        <w:t xml:space="preserve">(Coleoptera: Curculionidae) introduced in Chile. </w:t>
      </w:r>
      <w:r>
        <w:rPr>
          <w:rFonts w:ascii="Calibri" w:hAnsi="Calibri" w:eastAsia="Calibri" w:cs="Calibri"/>
          <w:i/>
          <w:iCs/>
          <w:color w:val="000000"/>
          <w:sz w:val="22"/>
          <w:szCs w:val="22"/>
        </w:rPr>
        <w:t xml:space="preserve">ISBCA</w:t>
      </w:r>
      <w:r>
        <w:rPr>
          <w:rFonts w:ascii="Calibri" w:hAnsi="Calibri" w:eastAsia="Calibri" w:cs="Calibri"/>
          <w:color w:val="000000"/>
          <w:sz w:val="22"/>
          <w:szCs w:val="22"/>
        </w:rPr>
        <w:t xml:space="preserve">, Chile.</w:t>
      </w:r>
    </w:p>
    <w:p>
      <w:pPr>
        <w:widowControl w:val="on"/>
        <w:pBdr/>
        <w:spacing w:before="220" w:after="220" w:line="240" w:lineRule="auto"/>
        <w:ind w:left="0" w:right="0"/>
        <w:jc w:val="left"/>
      </w:pPr>
      <w:r>
        <w:rPr>
          <w:rFonts w:ascii="Calibri" w:hAnsi="Calibri" w:eastAsia="Calibri" w:cs="Calibri"/>
          <w:color w:val="000000"/>
          <w:sz w:val="22"/>
          <w:szCs w:val="22"/>
        </w:rPr>
        <w:t xml:space="preserve">Moutia LA &amp; Vinson J (1945) Le charançon de l'Eucalyptus,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Revue Agricole et Sucrière de Maurice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25-30.</w:t>
      </w:r>
    </w:p>
    <w:p>
      <w:pPr>
        <w:widowControl w:val="on"/>
        <w:pBdr/>
        <w:spacing w:before="220" w:after="220" w:line="240" w:lineRule="auto"/>
        <w:ind w:left="0" w:right="0"/>
        <w:jc w:val="left"/>
      </w:pPr>
      <w:r>
        <w:rPr>
          <w:rFonts w:ascii="Calibri" w:hAnsi="Calibri" w:eastAsia="Calibri" w:cs="Calibri"/>
          <w:color w:val="000000"/>
          <w:sz w:val="22"/>
          <w:szCs w:val="22"/>
        </w:rPr>
        <w:t xml:space="preserve">Newete SW, Oberprieler RG &amp; Byrne MJ (2011) The host range of the eucalyptus weevil,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Gyllenhal (Coleoptera: Curculionidae), in South Africa.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1005–1013.</w:t>
      </w:r>
    </w:p>
    <w:p>
      <w:pPr>
        <w:widowControl w:val="on"/>
        <w:pBdr/>
        <w:spacing w:before="220" w:after="220" w:line="240" w:lineRule="auto"/>
        <w:ind w:left="0" w:right="0"/>
        <w:jc w:val="left"/>
      </w:pPr>
      <w:r>
        <w:rPr>
          <w:rFonts w:ascii="Calibri" w:hAnsi="Calibri" w:eastAsia="Calibri" w:cs="Calibri"/>
          <w:color w:val="000000"/>
          <w:sz w:val="22"/>
          <w:szCs w:val="22"/>
        </w:rPr>
        <w:t xml:space="preserve">Recalde A (1956) [The eucalyptus snout beetle (</w:t>
      </w:r>
      <w:r>
        <w:rPr>
          <w:rFonts w:ascii="Calibri" w:hAnsi="Calibri" w:eastAsia="Calibri" w:cs="Calibri"/>
          <w:i/>
          <w:iCs/>
          <w:color w:val="000000"/>
          <w:sz w:val="22"/>
          <w:szCs w:val="22"/>
        </w:rPr>
        <w:t xml:space="preserve">Gonipterus gibberus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Cultivador Moderno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166.</w:t>
      </w:r>
    </w:p>
    <w:p>
      <w:pPr>
        <w:widowControl w:val="on"/>
        <w:pBdr/>
        <w:spacing w:before="220" w:after="220" w:line="240" w:lineRule="auto"/>
        <w:ind w:left="0" w:right="0"/>
        <w:jc w:val="left"/>
      </w:pPr>
      <w:r>
        <w:rPr>
          <w:rFonts w:ascii="Calibri" w:hAnsi="Calibri" w:eastAsia="Calibri" w:cs="Calibri"/>
          <w:color w:val="000000"/>
          <w:sz w:val="22"/>
          <w:szCs w:val="22"/>
        </w:rPr>
        <w:t xml:space="preserve">Reis AR, Ferreira L, Tomé M, Araujo C &amp; Branco M (2012) Efficiency of biological control of </w:t>
      </w:r>
      <w:r>
        <w:rPr>
          <w:rFonts w:ascii="Calibri" w:hAnsi="Calibri" w:eastAsia="Calibri" w:cs="Calibri"/>
          <w:i/>
          <w:iCs/>
          <w:color w:val="000000"/>
          <w:sz w:val="22"/>
          <w:szCs w:val="22"/>
        </w:rPr>
        <w:t xml:space="preserve">Gonipterus platensis</w:t>
      </w:r>
      <w:r>
        <w:rPr>
          <w:rFonts w:ascii="Calibri" w:hAnsi="Calibri" w:eastAsia="Calibri" w:cs="Calibri"/>
          <w:color w:val="000000"/>
          <w:sz w:val="22"/>
          <w:szCs w:val="22"/>
        </w:rPr>
        <w:t xml:space="preserve"> (Coleoptera: Curculionidae) by </w:t>
      </w:r>
      <w:r>
        <w:rPr>
          <w:rFonts w:ascii="Calibri" w:hAnsi="Calibri" w:eastAsia="Calibri" w:cs="Calibri"/>
          <w:i/>
          <w:iCs/>
          <w:color w:val="000000"/>
          <w:sz w:val="22"/>
          <w:szCs w:val="22"/>
        </w:rPr>
        <w:t xml:space="preserve">Anaphes nitens</w:t>
      </w:r>
      <w:r>
        <w:rPr>
          <w:rFonts w:ascii="Calibri" w:hAnsi="Calibri" w:eastAsia="Calibri" w:cs="Calibri"/>
          <w:color w:val="000000"/>
          <w:sz w:val="22"/>
          <w:szCs w:val="22"/>
        </w:rPr>
        <w:t xml:space="preserve"> (Hymenoptera: Mymaridae) in cold areas of the Iberian Peninsula: Implications for defoliation and wood production in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216-222.</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KF &amp; Meakins RH (1986) Inter- and intra-specific variation in the susceptibility of eucalypts to the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(Coleoptera: Curculionidae). </w:t>
      </w:r>
      <w:r>
        <w:rPr>
          <w:rFonts w:ascii="Calibri" w:hAnsi="Calibri" w:eastAsia="Calibri" w:cs="Calibri"/>
          <w:i/>
          <w:iCs/>
          <w:color w:val="000000"/>
          <w:sz w:val="22"/>
          <w:szCs w:val="22"/>
        </w:rPr>
        <w:t xml:space="preserve">South African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21-31.</w:t>
      </w:r>
    </w:p>
    <w:p>
      <w:pPr>
        <w:widowControl w:val="on"/>
        <w:pBdr/>
        <w:spacing w:before="220" w:after="220" w:line="240" w:lineRule="auto"/>
        <w:ind w:left="0" w:right="0"/>
        <w:jc w:val="left"/>
      </w:pPr>
      <w:r>
        <w:rPr>
          <w:rFonts w:ascii="Calibri" w:hAnsi="Calibri" w:eastAsia="Calibri" w:cs="Calibri"/>
          <w:color w:val="000000"/>
          <w:sz w:val="22"/>
          <w:szCs w:val="22"/>
        </w:rPr>
        <w:t xml:space="preserve">Rodas C (2018) Important insect pest and diseases affecting plantation forestry in Colombia. In: IUFRO working party meeting 7.02.13, Improving forest health on commercial plantations: book of abstracts, Punta del Este, 21–23 March 2018. [accessed on 2 October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Santolamazza-Carbone S, Cordero-Rivera A (1998) Sperm competition, cryptic female choice and prolonged mating in the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Snout-Beetle, </w:t>
      </w:r>
      <w:r>
        <w:rPr>
          <w:rFonts w:ascii="Calibri" w:hAnsi="Calibri" w:eastAsia="Calibri" w:cs="Calibri"/>
          <w:i/>
          <w:iCs/>
          <w:color w:val="000000"/>
          <w:sz w:val="22"/>
          <w:szCs w:val="22"/>
        </w:rPr>
        <w:t xml:space="preserve">Gonipterus scutellatus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Etologia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33-40.</w:t>
      </w:r>
    </w:p>
    <w:p>
      <w:pPr>
        <w:widowControl w:val="on"/>
        <w:pBdr/>
        <w:spacing w:before="220" w:after="220" w:line="240" w:lineRule="auto"/>
        <w:ind w:left="0" w:right="0"/>
        <w:jc w:val="left"/>
      </w:pPr>
      <w:r>
        <w:rPr>
          <w:rFonts w:ascii="Calibri" w:hAnsi="Calibri" w:eastAsia="Calibri" w:cs="Calibri"/>
          <w:color w:val="000000"/>
          <w:sz w:val="22"/>
          <w:szCs w:val="22"/>
        </w:rPr>
        <w:t xml:space="preserve">Santolamazza-Carbone S, Rodriguez-Illamola A &amp; Cordero Rivera A (2006) Thermal requirements and phenology of the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Gyllenhal.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368-376.</w:t>
      </w:r>
    </w:p>
    <w:p>
      <w:pPr>
        <w:widowControl w:val="on"/>
        <w:pBdr/>
        <w:spacing w:before="220" w:after="220" w:line="240" w:lineRule="auto"/>
        <w:ind w:left="0" w:right="0"/>
        <w:jc w:val="left"/>
      </w:pPr>
      <w:r>
        <w:rPr>
          <w:rFonts w:ascii="Calibri" w:hAnsi="Calibri" w:eastAsia="Calibri" w:cs="Calibri"/>
          <w:color w:val="000000"/>
          <w:sz w:val="22"/>
          <w:szCs w:val="22"/>
        </w:rPr>
        <w:t xml:space="preserve">Schröder ML, Slippers B, Wingfield MJ &amp; Hurley BP (2020) Invasion history and management of Eucalyptus snout beetles in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Schröder ML, Nahrung HF, Souza NM, Lawson S, Slippers B, Wingfield MJ &amp; Hurley  BP (2021) Distribution of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species and their egg parasitoids in Australia: Implications for biological control.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(8), 969. </w:t>
      </w:r>
      <w:hyperlink r:id="rId75576627668a5f553" w:history="1">
        <w:r>
          <w:rPr>
            <w:rFonts w:ascii="Calibri" w:hAnsi="Calibri" w:eastAsia="Calibri" w:cs="Calibri"/>
            <w:color w:val="0000CC"/>
            <w:sz w:val="22"/>
            <w:szCs w:val="22"/>
            <w:u w:val="single"/>
          </w:rPr>
          <w:t xml:space="preserve">https://doi.org/10.3390/f12080969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NM, Lawson SA, Nahrung HF (2021)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(Coleoptera: Curculionidae) in subtropical Australia: Host associations and natural enemies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588-597.</w:t>
      </w:r>
    </w:p>
    <w:p>
      <w:pPr>
        <w:widowControl w:val="on"/>
        <w:pBdr/>
        <w:spacing w:before="220" w:after="220" w:line="240" w:lineRule="auto"/>
        <w:ind w:left="0" w:right="0"/>
        <w:jc w:val="left"/>
      </w:pPr>
      <w:r>
        <w:rPr>
          <w:rFonts w:ascii="Calibri" w:hAnsi="Calibri" w:eastAsia="Calibri" w:cs="Calibri"/>
          <w:color w:val="000000"/>
          <w:sz w:val="22"/>
          <w:szCs w:val="22"/>
        </w:rPr>
        <w:t xml:space="preserve">Tooke FGC (1955) The eucalyptus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A study of its ecology and control by biological means. </w:t>
      </w:r>
      <w:r>
        <w:rPr>
          <w:rFonts w:ascii="Calibri" w:hAnsi="Calibri" w:eastAsia="Calibri" w:cs="Calibri"/>
          <w:i/>
          <w:iCs/>
          <w:color w:val="000000"/>
          <w:sz w:val="22"/>
          <w:szCs w:val="22"/>
        </w:rPr>
        <w:t xml:space="preserve">Entomology Memoir, Department of Agriculture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1-282.</w:t>
      </w:r>
    </w:p>
    <w:p>
      <w:pPr>
        <w:widowControl w:val="on"/>
        <w:pBdr/>
        <w:spacing w:before="220" w:after="220" w:line="240" w:lineRule="auto"/>
        <w:ind w:left="0" w:right="0"/>
        <w:jc w:val="left"/>
      </w:pPr>
      <w:r>
        <w:rPr>
          <w:rFonts w:ascii="Calibri" w:hAnsi="Calibri" w:eastAsia="Calibri" w:cs="Calibri"/>
          <w:color w:val="000000"/>
          <w:sz w:val="22"/>
          <w:szCs w:val="22"/>
        </w:rPr>
        <w:t xml:space="preserve">Valente C, Gonçalves CI, Reis A &amp; Branco M (2017) Pre-selection and biological potential of the egg parasitoid </w:t>
      </w:r>
      <w:r>
        <w:rPr>
          <w:rFonts w:ascii="Calibri" w:hAnsi="Calibri" w:eastAsia="Calibri" w:cs="Calibri"/>
          <w:i/>
          <w:iCs/>
          <w:color w:val="000000"/>
          <w:sz w:val="22"/>
          <w:szCs w:val="22"/>
        </w:rPr>
        <w:t xml:space="preserve">Anaphes inexpectatus</w:t>
      </w:r>
      <w:r>
        <w:rPr>
          <w:rFonts w:ascii="Calibri" w:hAnsi="Calibri" w:eastAsia="Calibri" w:cs="Calibri"/>
          <w:color w:val="000000"/>
          <w:sz w:val="22"/>
          <w:szCs w:val="22"/>
        </w:rPr>
        <w:t xml:space="preserve"> for the control of the Eucalyptus snout beetle, </w:t>
      </w:r>
      <w:r>
        <w:rPr>
          <w:rFonts w:ascii="Calibri" w:hAnsi="Calibri" w:eastAsia="Calibri" w:cs="Calibri"/>
          <w:i/>
          <w:iCs/>
          <w:color w:val="000000"/>
          <w:sz w:val="22"/>
          <w:szCs w:val="22"/>
        </w:rPr>
        <w:t xml:space="preserve">Gonipterus platensis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911–923.</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JR, Moutia LA &amp; Hermelin PR (1951) The biological control of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 Curculionidae) in Mauritius.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Michelle Schröder, Department Zoology and Entomology, Forestry and Agricultural Biotechnology Institute (FABI), University of Pretoria.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Gonipterus scutellatus species complex</w:t>
      </w:r>
      <w:r>
        <w:rPr>
          <w:rFonts w:ascii="Calibri" w:hAnsi="Calibri" w:eastAsia="Calibri" w:cs="Calibri"/>
          <w:color w:val="000000"/>
          <w:sz w:val="22"/>
          <w:szCs w:val="22"/>
        </w:rPr>
        <w:t xml:space="preserve">. EPPO datasheets on pests recommended for regulation. Available online. </w:t>
      </w:r>
      <w:hyperlink r:id="rId64476627668a5f8c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revised in the two editions of 'Quarantine Pests for Europe' in 1992 and 1997, revised again in 2005,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Gonipterus gibberus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Gonipterus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368-370. </w:t>
      </w:r>
      <w:hyperlink r:id="rId16576627668a5f9eb" w:history="1">
        <w:r>
          <w:rPr>
            <w:rFonts w:ascii="Calibri" w:hAnsi="Calibri" w:eastAsia="Calibri" w:cs="Calibri"/>
            <w:color w:val="0000CC"/>
            <w:sz w:val="22"/>
            <w:szCs w:val="22"/>
            <w:u w:val="single"/>
          </w:rPr>
          <w:t xml:space="preserve">https://doi.org/10.1111/j.1365-2338.2005.00855.x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w:t>
      </w:r>
      <w:r>
        <w:rPr>
          <w:rFonts w:ascii="Calibri" w:hAnsi="Calibri" w:eastAsia="Calibri" w:cs="Calibri"/>
          <w:i/>
          <w:iCs/>
          <w:color w:val="000000"/>
          <w:sz w:val="22"/>
          <w:szCs w:val="22"/>
        </w:rPr>
        <w:t xml:space="preserve">Gonipterus gibberus</w:t>
      </w:r>
      <w:r>
        <w:rPr>
          <w:rFonts w:ascii="Calibri" w:hAnsi="Calibri" w:eastAsia="Calibri" w:cs="Calibri"/>
          <w:color w:val="000000"/>
          <w:sz w:val="22"/>
          <w:szCs w:val="22"/>
        </w:rPr>
        <w:t xml:space="preserve"> Boisd and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Coleoptera: Curculionidae.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85936627668a5fabb" w:history="1">
        <w:r>
          <w:rPr>
            <w:rFonts w:ascii="Calibri" w:hAnsi="Calibri" w:eastAsia="Calibri" w:cs="Calibri"/>
            <w:color w:val="0000CC"/>
            <w:sz w:val="22"/>
            <w:szCs w:val="22"/>
            <w:u w:val="single"/>
          </w:rPr>
          <w:t xml:space="preserve">https://doi.org/10.1111/j.1365-2338.1980.tb02696.x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2193343" name="name49336627668a5fbf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4706627668a5fbf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907069">
    <w:multiLevelType w:val="hybridMultilevel"/>
    <w:lvl w:ilvl="0" w:tplc="51303167">
      <w:start w:val="1"/>
      <w:numFmt w:val="decimal"/>
      <w:lvlText w:val="%1."/>
      <w:lvlJc w:val="left"/>
      <w:pPr>
        <w:ind w:left="720" w:hanging="360"/>
      </w:pPr>
    </w:lvl>
    <w:lvl w:ilvl="1" w:tplc="51303167" w:tentative="1">
      <w:start w:val="1"/>
      <w:numFmt w:val="lowerLetter"/>
      <w:lvlText w:val="%2."/>
      <w:lvlJc w:val="left"/>
      <w:pPr>
        <w:ind w:left="1440" w:hanging="360"/>
      </w:pPr>
    </w:lvl>
    <w:lvl w:ilvl="2" w:tplc="51303167" w:tentative="1">
      <w:start w:val="1"/>
      <w:numFmt w:val="lowerRoman"/>
      <w:lvlText w:val="%3."/>
      <w:lvlJc w:val="right"/>
      <w:pPr>
        <w:ind w:left="2160" w:hanging="180"/>
      </w:pPr>
    </w:lvl>
    <w:lvl w:ilvl="3" w:tplc="51303167" w:tentative="1">
      <w:start w:val="1"/>
      <w:numFmt w:val="decimal"/>
      <w:lvlText w:val="%4."/>
      <w:lvlJc w:val="left"/>
      <w:pPr>
        <w:ind w:left="2880" w:hanging="360"/>
      </w:pPr>
    </w:lvl>
    <w:lvl w:ilvl="4" w:tplc="51303167" w:tentative="1">
      <w:start w:val="1"/>
      <w:numFmt w:val="lowerLetter"/>
      <w:lvlText w:val="%5."/>
      <w:lvlJc w:val="left"/>
      <w:pPr>
        <w:ind w:left="3600" w:hanging="360"/>
      </w:pPr>
    </w:lvl>
    <w:lvl w:ilvl="5" w:tplc="51303167" w:tentative="1">
      <w:start w:val="1"/>
      <w:numFmt w:val="lowerRoman"/>
      <w:lvlText w:val="%6."/>
      <w:lvlJc w:val="right"/>
      <w:pPr>
        <w:ind w:left="4320" w:hanging="180"/>
      </w:pPr>
    </w:lvl>
    <w:lvl w:ilvl="6" w:tplc="51303167" w:tentative="1">
      <w:start w:val="1"/>
      <w:numFmt w:val="decimal"/>
      <w:lvlText w:val="%7."/>
      <w:lvlJc w:val="left"/>
      <w:pPr>
        <w:ind w:left="5040" w:hanging="360"/>
      </w:pPr>
    </w:lvl>
    <w:lvl w:ilvl="7" w:tplc="51303167" w:tentative="1">
      <w:start w:val="1"/>
      <w:numFmt w:val="lowerLetter"/>
      <w:lvlText w:val="%8."/>
      <w:lvlJc w:val="left"/>
      <w:pPr>
        <w:ind w:left="5760" w:hanging="360"/>
      </w:pPr>
    </w:lvl>
    <w:lvl w:ilvl="8" w:tplc="51303167" w:tentative="1">
      <w:start w:val="1"/>
      <w:numFmt w:val="lowerRoman"/>
      <w:lvlText w:val="%9."/>
      <w:lvlJc w:val="right"/>
      <w:pPr>
        <w:ind w:left="6480" w:hanging="180"/>
      </w:pPr>
    </w:lvl>
  </w:abstractNum>
  <w:abstractNum w:abstractNumId="75907068">
    <w:multiLevelType w:val="hybridMultilevel"/>
    <w:lvl w:ilvl="0" w:tplc="75230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907068">
    <w:abstractNumId w:val="75907068"/>
  </w:num>
  <w:num w:numId="75907069">
    <w:abstractNumId w:val="759070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6169732" Type="http://schemas.microsoft.com/office/2011/relationships/commentsExtended" Target="commentsExtended.xml"/><Relationship Id="rId594517913" Type="http://schemas.microsoft.com/office/2011/relationships/people" Target="people.xml"/><Relationship Id="rId69686627668a5bdc1" Type="http://schemas.openxmlformats.org/officeDocument/2006/relationships/hyperlink" Target="https://gd.eppo.int/taxon/GONPSC/" TargetMode="External"/><Relationship Id="rId46336627668a5be68" Type="http://schemas.openxmlformats.org/officeDocument/2006/relationships/hyperlink" Target="https://gd.eppo.int/taxon/GONPSC/categorization" TargetMode="External"/><Relationship Id="rId34476627668a5c306" Type="http://schemas.openxmlformats.org/officeDocument/2006/relationships/hyperlink" Target="https://gd.eppo.int/taxon/GONPSC/photos" TargetMode="External"/><Relationship Id="rId42706627668a5eb3c" Type="http://schemas.openxmlformats.org/officeDocument/2006/relationships/hyperlink" Target="https://doi.org/10.2903/j.efsa.2018.5107" TargetMode="External"/><Relationship Id="rId75576627668a5f553" Type="http://schemas.openxmlformats.org/officeDocument/2006/relationships/hyperlink" Target="https://doi.org/10.3390/f12080969" TargetMode="External"/><Relationship Id="rId64476627668a5f8cc" Type="http://schemas.openxmlformats.org/officeDocument/2006/relationships/hyperlink" Target="https://gd.eppo.int" TargetMode="External"/><Relationship Id="rId16576627668a5f9eb" Type="http://schemas.openxmlformats.org/officeDocument/2006/relationships/hyperlink" Target="https://doi.org/10.1111/j.1365-2338.2005.00855.x" TargetMode="External"/><Relationship Id="rId85936627668a5fabb" Type="http://schemas.openxmlformats.org/officeDocument/2006/relationships/hyperlink" Target="https://doi.org/10.1111/j.1365-2338.1980.tb02696.x" TargetMode="External"/><Relationship Id="rId62316627668a5c205" Type="http://schemas.openxmlformats.org/officeDocument/2006/relationships/image" Target="media/imgrId62316627668a5c205.jpg"/><Relationship Id="rId37086627668a5db2a" Type="http://schemas.openxmlformats.org/officeDocument/2006/relationships/image" Target="media/imgrId37086627668a5db2a.jpg"/><Relationship Id="rId24706627668a5fbf4" Type="http://schemas.openxmlformats.org/officeDocument/2006/relationships/image" Target="media/imgrId24706627668a5fb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