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Keiferia lycopersicella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Keiferia lycopersicella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(Walsingham)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Gelechiidae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Eucatoptus lycopersicella</w:t>
            </w:r>
            <w:r>
              <w:rPr>
                <w:rFonts w:ascii="Calibri" w:hAnsi="Calibri" w:eastAsia="Calibri" w:cs="Calibri"/>
                <w:color w:val="000000"/>
                <w:position w:val="-3"/>
                <w:sz w:val="22"/>
                <w:szCs w:val="22"/>
              </w:rPr>
              <w:t xml:space="preserve"> Walsingham, </w:t>
            </w:r>
            <w:r>
              <w:rPr>
                <w:rFonts w:ascii="Calibri" w:hAnsi="Calibri" w:eastAsia="Calibri" w:cs="Calibri"/>
                <w:i/>
                <w:iCs/>
                <w:color w:val="000000"/>
                <w:position w:val="-3"/>
                <w:sz w:val="22"/>
                <w:szCs w:val="22"/>
              </w:rPr>
              <w:t xml:space="preserve">Gnorimoschema lycopersicella</w:t>
            </w:r>
            <w:r>
              <w:rPr>
                <w:rFonts w:ascii="Calibri" w:hAnsi="Calibri" w:eastAsia="Calibri" w:cs="Calibri"/>
                <w:color w:val="000000"/>
                <w:position w:val="-3"/>
                <w:sz w:val="22"/>
                <w:szCs w:val="22"/>
              </w:rPr>
              <w:t xml:space="preserve"> (Busck), </w:t>
            </w:r>
            <w:r>
              <w:rPr>
                <w:rFonts w:ascii="Calibri" w:hAnsi="Calibri" w:eastAsia="Calibri" w:cs="Calibri"/>
                <w:i/>
                <w:iCs/>
                <w:color w:val="000000"/>
                <w:position w:val="-3"/>
                <w:sz w:val="22"/>
                <w:szCs w:val="22"/>
              </w:rPr>
              <w:t xml:space="preserve">Phthorimaea lycopersicella</w:t>
            </w:r>
            <w:r>
              <w:rPr>
                <w:rFonts w:ascii="Calibri" w:hAnsi="Calibri" w:eastAsia="Calibri" w:cs="Calibri"/>
                <w:color w:val="000000"/>
                <w:position w:val="-3"/>
                <w:sz w:val="22"/>
                <w:szCs w:val="22"/>
              </w:rPr>
              <w:t xml:space="preserve"> Busck</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tomato pinworm</w:t>
            </w:r>
            <w:hyperlink r:id="rId55196abfe3d4f2126"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4626abfe3d4f219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GNORLY</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7260978" name="name32546abfe3d4f2814" descr="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8.jpg"/>
                          <pic:cNvPicPr/>
                        </pic:nvPicPr>
                        <pic:blipFill>
                          <a:blip r:embed="rId30146abfe3d4f2812" cstate="print"/>
                          <a:stretch>
                            <a:fillRect/>
                          </a:stretch>
                        </pic:blipFill>
                        <pic:spPr>
                          <a:xfrm>
                            <a:off x="0" y="0"/>
                            <a:ext cx="2160000" cy="1281600"/>
                          </a:xfrm>
                          <a:prstGeom prst="rect">
                            <a:avLst/>
                          </a:prstGeom>
                          <a:ln w="0">
                            <a:noFill/>
                          </a:ln>
                        </pic:spPr>
                      </pic:pic>
                    </a:graphicData>
                  </a:graphic>
                </wp:inline>
              </w:drawing>
            </w:r>
            <w:hyperlink r:id="rId69486abfe3d4f291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(Walsingham) has been the subject of considerable taxonomic confusion since the first specimens were collected on tomatoes in the Imperial Valley of California in 1923. Initially the specimens were misidentified as the eggplant leafminer, </w:t>
      </w:r>
      <w:r>
        <w:rPr>
          <w:rFonts w:ascii="Calibri" w:hAnsi="Calibri" w:eastAsia="Calibri" w:cs="Calibri"/>
          <w:i/>
          <w:iCs/>
          <w:color w:val="000000"/>
          <w:sz w:val="22"/>
          <w:szCs w:val="22"/>
        </w:rPr>
        <w:t xml:space="preserve">Phthorimaea glochinella</w:t>
      </w:r>
      <w:r>
        <w:rPr>
          <w:rFonts w:ascii="Calibri" w:hAnsi="Calibri" w:eastAsia="Calibri" w:cs="Calibri"/>
          <w:color w:val="000000"/>
          <w:sz w:val="22"/>
          <w:szCs w:val="22"/>
        </w:rPr>
        <w:t xml:space="preserve"> (Zeller), and several early works treated the tomato pinworm under this name. In 1928, Busck described this pest as a new species, </w:t>
      </w:r>
      <w:r>
        <w:rPr>
          <w:rFonts w:ascii="Calibri" w:hAnsi="Calibri" w:eastAsia="Calibri" w:cs="Calibri"/>
          <w:i/>
          <w:iCs/>
          <w:color w:val="000000"/>
          <w:sz w:val="22"/>
          <w:szCs w:val="22"/>
        </w:rPr>
        <w:t xml:space="preserve">Phthorimaea lycopersicella</w:t>
      </w:r>
      <w:r>
        <w:rPr>
          <w:rFonts w:ascii="Calibri" w:hAnsi="Calibri" w:eastAsia="Calibri" w:cs="Calibri"/>
          <w:color w:val="000000"/>
          <w:sz w:val="22"/>
          <w:szCs w:val="22"/>
        </w:rPr>
        <w:t xml:space="preserve">, including material from Hawaii, California and Mexico in the type-series. He later synonymized all members of the genus </w:t>
      </w:r>
      <w:r>
        <w:rPr>
          <w:rFonts w:ascii="Calibri" w:hAnsi="Calibri" w:eastAsia="Calibri" w:cs="Calibri"/>
          <w:i/>
          <w:iCs/>
          <w:color w:val="000000"/>
          <w:sz w:val="22"/>
          <w:szCs w:val="22"/>
        </w:rPr>
        <w:t xml:space="preserve">Phthorimaea</w:t>
      </w:r>
      <w:r>
        <w:rPr>
          <w:rFonts w:ascii="Calibri" w:hAnsi="Calibri" w:eastAsia="Calibri" w:cs="Calibri"/>
          <w:color w:val="000000"/>
          <w:sz w:val="22"/>
          <w:szCs w:val="22"/>
        </w:rPr>
        <w:t xml:space="preserve"> Meyrick with the genus </w:t>
      </w:r>
      <w:r>
        <w:rPr>
          <w:rFonts w:ascii="Calibri" w:hAnsi="Calibri" w:eastAsia="Calibri" w:cs="Calibri"/>
          <w:i/>
          <w:iCs/>
          <w:color w:val="000000"/>
          <w:sz w:val="22"/>
          <w:szCs w:val="22"/>
        </w:rPr>
        <w:t xml:space="preserve">Gnorimoschema</w:t>
      </w:r>
      <w:r>
        <w:rPr>
          <w:rFonts w:ascii="Calibri" w:hAnsi="Calibri" w:eastAsia="Calibri" w:cs="Calibri"/>
          <w:color w:val="000000"/>
          <w:sz w:val="22"/>
          <w:szCs w:val="22"/>
        </w:rPr>
        <w:t xml:space="preserve"> Busck, thus giving the tomato pinworm the new combination, </w:t>
      </w:r>
      <w:r>
        <w:rPr>
          <w:rFonts w:ascii="Calibri" w:hAnsi="Calibri" w:eastAsia="Calibri" w:cs="Calibri"/>
          <w:i/>
          <w:iCs/>
          <w:color w:val="000000"/>
          <w:sz w:val="22"/>
          <w:szCs w:val="22"/>
        </w:rPr>
        <w:t xml:space="preserve">Gnorimoschema lycopersicella</w:t>
      </w:r>
      <w:r>
        <w:rPr>
          <w:rFonts w:ascii="Calibri" w:hAnsi="Calibri" w:eastAsia="Calibri" w:cs="Calibri"/>
          <w:color w:val="000000"/>
          <w:sz w:val="22"/>
          <w:szCs w:val="22"/>
        </w:rPr>
        <w:t xml:space="preserve"> (Busck). In 1939, Busck moved </w:t>
      </w:r>
      <w:r>
        <w:rPr>
          <w:rFonts w:ascii="Calibri" w:hAnsi="Calibri" w:eastAsia="Calibri" w:cs="Calibri"/>
          <w:i/>
          <w:iCs/>
          <w:color w:val="000000"/>
          <w:sz w:val="22"/>
          <w:szCs w:val="22"/>
        </w:rPr>
        <w:t xml:space="preserve">G. lycopersicella</w:t>
      </w:r>
      <w:r>
        <w:rPr>
          <w:rFonts w:ascii="Calibri" w:hAnsi="Calibri" w:eastAsia="Calibri" w:cs="Calibri"/>
          <w:color w:val="000000"/>
          <w:sz w:val="22"/>
          <w:szCs w:val="22"/>
        </w:rPr>
        <w:t xml:space="preserve"> and three other members of </w:t>
      </w:r>
      <w:r>
        <w:rPr>
          <w:rFonts w:ascii="Calibri" w:hAnsi="Calibri" w:eastAsia="Calibri" w:cs="Calibri"/>
          <w:i/>
          <w:iCs/>
          <w:color w:val="000000"/>
          <w:sz w:val="22"/>
          <w:szCs w:val="22"/>
        </w:rPr>
        <w:t xml:space="preserve">Gnorimoschema</w:t>
      </w:r>
      <w:r>
        <w:rPr>
          <w:rFonts w:ascii="Calibri" w:hAnsi="Calibri" w:eastAsia="Calibri" w:cs="Calibri"/>
          <w:color w:val="000000"/>
          <w:sz w:val="22"/>
          <w:szCs w:val="22"/>
        </w:rPr>
        <w:t xml:space="preserve"> to the new genus </w:t>
      </w:r>
      <w:r>
        <w:rPr>
          <w:rFonts w:ascii="Calibri" w:hAnsi="Calibri" w:eastAsia="Calibri" w:cs="Calibri"/>
          <w:i/>
          <w:iCs/>
          <w:color w:val="000000"/>
          <w:sz w:val="22"/>
          <w:szCs w:val="22"/>
        </w:rPr>
        <w:t xml:space="preserve">Keiferia</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Phthorimaea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lycopersicella</w:t>
      </w:r>
      <w:r>
        <w:rPr>
          <w:rFonts w:ascii="Calibri" w:hAnsi="Calibri" w:eastAsia="Calibri" w:cs="Calibri"/>
          <w:color w:val="000000"/>
          <w:sz w:val="22"/>
          <w:szCs w:val="22"/>
        </w:rPr>
        <w:t xml:space="preserve"> Busck (incorrectly given as </w:t>
      </w:r>
      <w:r>
        <w:rPr>
          <w:rFonts w:ascii="Calibri" w:hAnsi="Calibri" w:eastAsia="Calibri" w:cs="Calibri"/>
          <w:i/>
          <w:iCs/>
          <w:color w:val="000000"/>
          <w:sz w:val="22"/>
          <w:szCs w:val="22"/>
        </w:rPr>
        <w:t xml:space="preserve">Gnorimoschema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lycopersicella</w:t>
      </w:r>
      <w:r>
        <w:rPr>
          <w:rFonts w:ascii="Calibri" w:hAnsi="Calibri" w:eastAsia="Calibri" w:cs="Calibri"/>
          <w:color w:val="000000"/>
          <w:sz w:val="22"/>
          <w:szCs w:val="22"/>
        </w:rPr>
        <w:t xml:space="preserve">) as the type species (Elmore &amp; Howland, 1943). Hodges (1965) (cited by Oatman, 1970) reported that a study of the type of </w:t>
      </w:r>
      <w:r>
        <w:rPr>
          <w:rFonts w:ascii="Calibri" w:hAnsi="Calibri" w:eastAsia="Calibri" w:cs="Calibri"/>
          <w:i/>
          <w:iCs/>
          <w:color w:val="000000"/>
          <w:sz w:val="22"/>
          <w:szCs w:val="22"/>
        </w:rPr>
        <w:t xml:space="preserve">Eucatoplus lycopersicella</w:t>
      </w:r>
      <w:r>
        <w:rPr>
          <w:rFonts w:ascii="Calibri" w:hAnsi="Calibri" w:eastAsia="Calibri" w:cs="Calibri"/>
          <w:color w:val="000000"/>
          <w:sz w:val="22"/>
          <w:szCs w:val="22"/>
        </w:rPr>
        <w:t xml:space="preserve"> (Walsingham, 1897), revealed that it is conspecific with </w:t>
      </w:r>
      <w:r>
        <w:rPr>
          <w:rFonts w:ascii="Calibri" w:hAnsi="Calibri" w:eastAsia="Calibri" w:cs="Calibri"/>
          <w:i/>
          <w:iCs/>
          <w:color w:val="000000"/>
          <w:sz w:val="22"/>
          <w:szCs w:val="22"/>
        </w:rPr>
        <w:t xml:space="preserve">Phthorimaea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lycopersicella</w:t>
      </w:r>
      <w:r>
        <w:rPr>
          <w:rFonts w:ascii="Calibri" w:hAnsi="Calibri" w:eastAsia="Calibri" w:cs="Calibri"/>
          <w:color w:val="000000"/>
          <w:sz w:val="22"/>
          <w:szCs w:val="22"/>
        </w:rPr>
        <w:t xml:space="preserve"> Busck, 1928. He further stated that Busck's ‘lycopersicella’ is the type-species of </w:t>
      </w:r>
      <w:r>
        <w:rPr>
          <w:rFonts w:ascii="Calibri" w:hAnsi="Calibri" w:eastAsia="Calibri" w:cs="Calibri"/>
          <w:i/>
          <w:iCs/>
          <w:color w:val="000000"/>
          <w:sz w:val="22"/>
          <w:szCs w:val="22"/>
        </w:rPr>
        <w:t xml:space="preserve">Keiferia</w:t>
      </w:r>
      <w:r>
        <w:rPr>
          <w:rFonts w:ascii="Calibri" w:hAnsi="Calibri" w:eastAsia="Calibri" w:cs="Calibri"/>
          <w:color w:val="000000"/>
          <w:sz w:val="22"/>
          <w:szCs w:val="22"/>
        </w:rPr>
        <w:t xml:space="preserve"> Busck, so the correct combination for the Walsingham name is </w:t>
      </w:r>
      <w:r>
        <w:rPr>
          <w:rFonts w:ascii="Calibri" w:hAnsi="Calibri" w:eastAsia="Calibri" w:cs="Calibri"/>
          <w:i/>
          <w:iCs/>
          <w:color w:val="000000"/>
          <w:sz w:val="22"/>
          <w:szCs w:val="22"/>
        </w:rPr>
        <w:t xml:space="preserve">Keiferia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lycopersicella</w:t>
      </w:r>
      <w:r>
        <w:rPr>
          <w:rFonts w:ascii="Calibri" w:hAnsi="Calibri" w:eastAsia="Calibri" w:cs="Calibri"/>
          <w:color w:val="000000"/>
          <w:sz w:val="22"/>
          <w:szCs w:val="22"/>
        </w:rPr>
        <w:t xml:space="preserve"> (Walsingham).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Keiferia lycopersicella </w:t>
      </w:r>
      <w:r>
        <w:rPr>
          <w:rFonts w:ascii="Calibri" w:hAnsi="Calibri" w:eastAsia="Calibri" w:cs="Calibri"/>
          <w:color w:val="000000"/>
          <w:sz w:val="22"/>
          <w:szCs w:val="22"/>
        </w:rPr>
        <w:t xml:space="preserve">attacks mainly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but can survive on at least 12 other solanaceous plant species. Occasional losses have also been reported for eggplant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and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Weed hosts include </w:t>
      </w:r>
      <w:r>
        <w:rPr>
          <w:rFonts w:ascii="Calibri" w:hAnsi="Calibri" w:eastAsia="Calibri" w:cs="Calibri"/>
          <w:i/>
          <w:iCs/>
          <w:color w:val="000000"/>
          <w:sz w:val="22"/>
          <w:szCs w:val="22"/>
        </w:rPr>
        <w:t xml:space="preserve">S. americanum </w:t>
      </w:r>
      <w:r>
        <w:rPr>
          <w:rFonts w:ascii="Calibri" w:hAnsi="Calibri" w:eastAsia="Calibri" w:cs="Calibri"/>
          <w:color w:val="000000"/>
          <w:sz w:val="22"/>
          <w:szCs w:val="22"/>
        </w:rPr>
        <w:t xml:space="preserve">var. </w:t>
      </w:r>
      <w:r>
        <w:rPr>
          <w:rFonts w:ascii="Calibri" w:hAnsi="Calibri" w:eastAsia="Calibri" w:cs="Calibri"/>
          <w:i/>
          <w:iCs/>
          <w:color w:val="000000"/>
          <w:sz w:val="22"/>
          <w:szCs w:val="22"/>
        </w:rPr>
        <w:t xml:space="preserve">nodiflorum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bahamense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umbelliferum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viarum</w:t>
      </w:r>
      <w:r>
        <w:rPr>
          <w:rFonts w:ascii="Calibri" w:hAnsi="Calibri" w:eastAsia="Calibri" w:cs="Calibri"/>
          <w:color w:val="000000"/>
          <w:sz w:val="22"/>
          <w:szCs w:val="22"/>
        </w:rPr>
        <w:t xml:space="preserve">, and potentially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(Thomas, 1933; Zimmerman, 1978; Poe, 1999).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bahamense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 var. cerasiforme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umbelliferum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viarum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tomato pinworm occurs in North, Central and South America, as well as in the Caribbean, mainly in sub-tropical and tropical tomato-growing areas where winters are mild. In the USA, it occurs in the tomato-producing areas of California, Florida (south of Tampa along the west coast and from Fort Pierce south along the east coast), and in the Rio Grande Valley of Texas. It has also been reported in greenhouses from other states (e.g. Delaware, Mississippi, Missouri, Pennsylvania, and Virginia) (Jiménez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Saunders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Poe, 1999). In Canada, it was first observed in 1946 when larvae of this pest were confirmed in field and greenhouse tomato crops in South-Western Ontario; however, the species did not establish. Isolated infestations were then reported: in 1970 in a greenhouse on Vancouver Island, and in 1975 in a greenhouse and surrounding home gardens at Kamloops, British Columbia. Eradication at both locations was accomplished by exposure to the elements and by planting cucumber, which is a non-host crop (Garland, 1989). In 1991, </w:t>
      </w:r>
      <w:r>
        <w:rPr>
          <w:rFonts w:ascii="Calibri" w:hAnsi="Calibri" w:eastAsia="Calibri" w:cs="Calibri"/>
          <w:i/>
          <w:iCs/>
          <w:color w:val="000000"/>
          <w:sz w:val="22"/>
          <w:szCs w:val="22"/>
        </w:rPr>
        <w:t xml:space="preserve">K. lycopersicella</w:t>
      </w:r>
      <w:r>
        <w:rPr>
          <w:rFonts w:ascii="Calibri" w:hAnsi="Calibri" w:eastAsia="Calibri" w:cs="Calibri"/>
          <w:color w:val="000000"/>
          <w:sz w:val="22"/>
          <w:szCs w:val="22"/>
        </w:rPr>
        <w:t xml:space="preserve"> was reported again in Ontario in Essex County. Since then, it has spread throughout the Leamington area (Mason,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 Europe, an incursion of </w:t>
      </w:r>
      <w:r>
        <w:rPr>
          <w:rFonts w:ascii="Calibri" w:hAnsi="Calibri" w:eastAsia="Calibri" w:cs="Calibri"/>
          <w:i/>
          <w:iCs/>
          <w:color w:val="000000"/>
          <w:sz w:val="22"/>
          <w:szCs w:val="22"/>
        </w:rPr>
        <w:t xml:space="preserve">K. lycopersicella</w:t>
      </w:r>
      <w:r>
        <w:rPr>
          <w:rFonts w:ascii="Calibri" w:hAnsi="Calibri" w:eastAsia="Calibri" w:cs="Calibri"/>
          <w:color w:val="000000"/>
          <w:sz w:val="22"/>
          <w:szCs w:val="22"/>
        </w:rPr>
        <w:t xml:space="preserve"> was reported in Italy in 2008 in a tomato field crop, but the pest did not establish, and no further detections were made (Sannino &amp; Espinosa, 2009).</w:t>
      </w:r>
    </w:p>
    <w:p>
      <w:r>
        <w:drawing>
          <wp:inline distT="0" distB="0" distL="0" distR="0">
            <wp:extent cx="6120000" cy="3067200"/>
            <wp:docPr id="94516339" name="name34036abfe3d4f3bf2" descr="GNORL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NORLY_distribution_map.jpg"/>
                    <pic:cNvPicPr/>
                  </pic:nvPicPr>
                  <pic:blipFill>
                    <a:blip r:embed="rId52656abfe3d4f3be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Arizona, Arkansas, California, Delaware, Florida, Georgia, Hawaii, Illinois, Maryland, Mississippi, Missouri, New Jersey, New Mexico, North Carolina, Ohio, Pennsylvania, South Carolina, Tennessee, Texas,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Bermuda, Costa Rica, Cuba, Dominican Republic, El Salvador, Guatemala, Haiti, Honduras, Jamaica, Nicaragua, Panama,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Colombia, Ecuador, Guyana, Peru,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female deposits the eggs on the leaves, both on the upper and lower side, with a preference for the upper leaf side. Eggs are deposited singly or in small groups of two to three, next to the veins of the leaves inside the grooves, which confers greater protection (Geraud-Pouey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Sierra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Oviposition in fruits usually occurs when infestation is very high and the foliage has deteriorated (Geraud-Pouey, 1997). Females oviposit from 50 to 200 eggs. Hatching generally occurs within 3.5 to 9 days (Swank,1937).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K. lycopersicella</w:t>
      </w:r>
      <w:r>
        <w:rPr>
          <w:rFonts w:ascii="Calibri" w:hAnsi="Calibri" w:eastAsia="Calibri" w:cs="Calibri"/>
          <w:color w:val="000000"/>
          <w:sz w:val="22"/>
          <w:szCs w:val="22"/>
        </w:rPr>
        <w:t xml:space="preserve"> has four larval instars and larval development ranges from 9 to 17 days. The first larval instar drills the leaf epidermis initiating a gallery or mine inside the leaf mesophyll (Geraud-Pouey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leaving the lower and upper surface intact, forming a kind of reddish blister (Figueroa, 1950). The first instar larvae spin a tent of silk over themselves and tunnel into the leaf. Further feeding results in a blotch-like mine usually on the same leaf (Poe, 1999). Upon reaching the third instar, the larva leaves the mine and folds the tip of the leaf or joins two leaves together to create a space where it will remain for the third and fourth instar (Anaya, 1980; Morón &amp; Terrón, 1988 cited by Anaya &amp; Romero, 1999).</w:t>
      </w:r>
    </w:p>
    <w:p>
      <w:pPr>
        <w:widowControl w:val="on"/>
        <w:pBdr/>
        <w:spacing w:before="220" w:after="220" w:line="240" w:lineRule="auto"/>
        <w:ind w:left="0" w:right="0"/>
        <w:jc w:val="both"/>
      </w:pPr>
      <w:r>
        <w:rPr>
          <w:rFonts w:ascii="Calibri" w:hAnsi="Calibri" w:eastAsia="Calibri" w:cs="Calibri"/>
          <w:color w:val="000000"/>
          <w:sz w:val="22"/>
          <w:szCs w:val="22"/>
        </w:rPr>
        <w:t xml:space="preserve">The fourth instar larva as it grows widens the mine in an irregular shape, depositing excrements at the initial end and subsequently rolls the leaves to form a shelter (Sierra, 2012). </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usually drop to the ground to pupate (although occasionally they may pupate in fruits and folded leaves) (Anaya, 1980; Morón &amp; Terrón 1988 cited by Anaya &amp; Romero, 1999). After burrowing into the soil to a depth of 1–2 cm, the larvae spin a cocoon with silk and soil particles. Initially green, the pupae become increasingly brown as they age (Elmore &amp; Howland, 1943). The pupal stage can last from 5 days to 38 days with temperature ranges from 10 to 26°C respectively (Sierra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Elmore &amp; Howland, 1943), on average, the stage lasts 16 days at 20°C (Poe, 1999), all developmental stages are temperature dependent.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lower developmental threshold has been estimated at 11°C. This insect has no diapause, so sustained temperatures below 10°C generally prohibit population survival. Eggs will not hatch at temperatures above 41°C, but larvae will continue to develop at temperatures up to 44°C. Developmental time from egg to adult ranges from 18 days at 35°C to 118 days at 14°C. In the Mediterranean climate of coastal Southern California, there are about 8 generations per year. In Sinaloa, Mexico, warmer temperatures allow 10 or more generations per year. For additional information see Elmore &amp; Howland, 1943; Weinberg &amp; Lange, 1980; Lin &amp; Trumble, 1985, and Schuster,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attack to the fruit is the most important part of the larval attack, as it damages the commercial part of the plant. Larvae can cause serious defoliation, and, consequently, fruits are marked by sunburn (Anaya &amp; Romero, 1999). They damage the leaves, reducing the photosynthesis area and favouring the entrance of pathogens. They can also perforate the tomato fruit leading to rotting and loss (Guevara, 2000). Larvae hatched from eggs previously laid in the calyx or those migrating from leaves near the fruit can be found at the insertion of the peduncle with the fruit, but they rarely penetrate the fruit from elsewhere. The suppression of flower buds also decreases the number of fruits per plant (Figueroa, 1950).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elliptical in shape; when freshly laid they are bright light yellow, gradually darkening and turning orange as the embryo develops (Geraud-Pouey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Eggs are small, measuring less than 1 mm (0.36 mm long by 0.22 mm wide) (Sierra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Figueroa, 1950).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head capsule is dark brown; body yellowish-grey initially changing to grey with purple blotches or all purple. Newly hatched larvae average 0.85 mm in length and attain a maximum length of 5.8–7.9 mm. Typically, larvae have a pale prothorax notum.</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When the larva leaves the mine, it empties its digestive tract and weaves a cocoon and becomes a pupa (Geraud-Pouey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When the pupa is newly formed it is brownish green and later becomes bright brown, the pupa in the soil is protected by an ovoid cell of grains of soil mixed with the salivary secretion of the glands of the larva, when it develops in the folds of the leaves, they remain protected only by these (Figueroa, 1950), after about 6 to 7 days the adult emerges (Geraud-Pouey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is a brownish-grey moth approximately 5 mm long (Geraud-Pouey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the female is larger than the male (Sierra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with a wing spread of 9 to 12 mm (Figueroa, 1950). Labial palpi have a short-furrowed brush on the underside of the second joint, a terminal joint somewhat thickened with scales, and are compressed. The extreme tip is pointed. The head, thorax and wings are mottled brown. The forewings are elongate ovate; the hind wings are pointed and dilated at the tip of the costa in females. The abdomen is dark fuscous above with basal joints slightly ochreous, the underside is light ochreous sprinkled with dark fuscous spots. Adults are nocturnal, initiate flight and oviposition at dusk and continue ovipositing during the night if the temperature is approximately 15.5°C or higher. Activity is accelerated by an increase in temperature (Elmore &amp; Howland, 1943), the moths rest in shaded areas of the plant during the day (Guevara, 2000), mating occurs within 24 to 48 hours after emergence (Elmore &amp; Howland, 1943).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important to carry out surveillance activities to ensure the timely detection of the pest and to be able to implement appropriate control strategies and prevent its spread to other production areas. In production areas, both in protected cultivation and in open fields, delta traps with specific sexual pheromone (Z/E4-tridecadienyl acetate) can be used, with 1 to 2 traps per hectare (NAPPO, 2015; OIRSA, 2016). In homogeneous production areas, trapping routes should be established so that the largest number of traps can be efficiently checked. Traps should ideally be inspected every week and at most every 15 days. It is also important to survey high risk areas, and traps can usefully be placed in nurseries producing plants for planting, fruit markets, packing houses, as well as in ports, airports, and along highways where there is a passage of goods susceptible to carry the pest. In a monitoring programme, traps should be properly identified so that the information can be traced, as well as the record of the specimens captured. Suspicious samples should be sent to a diagnostic laboratory to carry out the identification. In susceptible sites where there are no traps, it is necessary to carry out a visual check to look for specific symptoms of the pest and detect any incursion (OIRSA, 2016).</w:t>
      </w:r>
    </w:p>
    <w:p>
      <w:pPr>
        <w:widowControl w:val="on"/>
        <w:pBdr/>
        <w:spacing w:before="220" w:after="220" w:line="240" w:lineRule="auto"/>
        <w:ind w:left="0" w:right="0"/>
        <w:jc w:val="both"/>
      </w:pPr>
      <w:r>
        <w:rPr>
          <w:rFonts w:ascii="Calibri" w:hAnsi="Calibri" w:eastAsia="Calibri" w:cs="Calibri"/>
          <w:color w:val="000000"/>
          <w:sz w:val="22"/>
          <w:szCs w:val="22"/>
        </w:rPr>
        <w:t xml:space="preserve">Diagnosis is a very important tool that complements phytosanitary surveillance, however it is not possible to identify eggs and pupae using morphological characteristics. In the case of larvae and adults, identification is difficult as the species can be confused with other Gelechiidae feeding on Solanaceae (e.g.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and requires experience. For adults, the identification is made based on the morphology of the genitalia (OIRSA,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vehicle of dispersal to distant places or other countries is the transport of the insect in infested fruits. Plants for planting, as well as packaging material used for picking and packing fruit can also transport the pest. Over shorter distances, flight of adults, and movements of harvest residues can ensure further dispersal (Chavez, 1962).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Substantial and recurrent outbreaks of the tomato pinworm have been recorded in North America since the 1920s. Economic losses in the USA and Mexico cost millions of dollars (US) in the 1980s and early 1990s (Oatman, 1970; Trumble &amp; Alvarado-Rodriguez, 1993).</w:t>
      </w:r>
    </w:p>
    <w:p>
      <w:pPr>
        <w:widowControl w:val="on"/>
        <w:pBdr/>
        <w:spacing w:before="220" w:after="220" w:line="240" w:lineRule="auto"/>
        <w:ind w:left="0" w:right="0"/>
        <w:jc w:val="both"/>
      </w:pPr>
      <w:r>
        <w:rPr>
          <w:rFonts w:ascii="Calibri" w:hAnsi="Calibri" w:eastAsia="Calibri" w:cs="Calibri"/>
          <w:color w:val="000000"/>
          <w:sz w:val="22"/>
          <w:szCs w:val="22"/>
        </w:rPr>
        <w:t xml:space="preserve">While damage can be caused by foliar feeding, most economic losses result from fruit damage. In tomatoes destined for the fresh market, almost any penetration will result in fruit loss through secondary bacterial infection, cosmetic damage, or insect contamination. For processing tomatoes, the primary losses are to fruit shipments that are rejected because of larval contamination: the presence of any recognizable insect larvae or portion of a larva in food products is unacceptable to most consumers. Damage to potatoes can occur, but has been considered relatively minor throughout the current area of distribution. Damage to eggplant can be quite severe in the warmer areas of production (Mossler &amp; Nesheim, 2010). In addition, pinworms are often seen on eggplant when growers use non-selective insecticides for management of whiteflies that reduce beneficial organism populations (Poe, 1999).</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impact of the introduction of </w:t>
      </w:r>
      <w:r>
        <w:rPr>
          <w:rFonts w:ascii="Calibri" w:hAnsi="Calibri" w:eastAsia="Calibri" w:cs="Calibri"/>
          <w:i/>
          <w:iCs/>
          <w:color w:val="000000"/>
          <w:sz w:val="22"/>
          <w:szCs w:val="22"/>
        </w:rPr>
        <w:t xml:space="preserve">K. lycopersicella</w:t>
      </w:r>
      <w:r>
        <w:rPr>
          <w:rFonts w:ascii="Calibri" w:hAnsi="Calibri" w:eastAsia="Calibri" w:cs="Calibri"/>
          <w:color w:val="000000"/>
          <w:sz w:val="22"/>
          <w:szCs w:val="22"/>
        </w:rPr>
        <w:t xml:space="preserve">, a pest of quarantine concern for many countries, is related to the increase in production costs. These costs would be due to the implementation of surveillance, monitoring, confinement, and integrated control of the pest with the objective of reducing the damage caused by the pest and avoiding the impact on production in order to protect domestic consumption and export markets.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Initially, control was almost entirely based on frequent applications of multiple pesticides. More recently, populations have been effectively suppressed in tomato production areas in North America via a combination of mating disruption with pheromones and insecticides. Attempts to use host plant resistance have not been successful (Pena, 1983). However, a cultural technique establishing a tomato-free period in Mexico has proven effective at reducing pest pressure in a region where tomatoes can be produced year-round. Rapid destruction of tomato fields following the last harvest can reduce overwintering populations in areas where temperatures are moderate. The precautions include use of transplants that are free from eggs and larvae when set in the field, Populations may be controlled early during the first or second larval stages with several recommended insecticides; however, third or fourth instars are protected by leaf folds or fruit, making the control of older infestations difficult. Consequently, chemical control is contingent upon frequent and accurate observations of fields for pinworm mines (Poe, 1999). The same pheromones that have been used for several years as lures to monitor adult male populations have recently been used in large quantities for mating disruption. This technique provides control by saturating a field with sex pheromone so that male moths cannot find and mate with females. The pheromones can be integrated successfully into a management program, as long as the field is isolated from other infested fields and the pheromones are applied before populations build up (Jiménez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studies were conducted to evaluate the ability of six commercially available species of </w:t>
      </w:r>
      <w:r>
        <w:rPr>
          <w:rFonts w:ascii="Calibri" w:hAnsi="Calibri" w:eastAsia="Calibri" w:cs="Calibri"/>
          <w:i/>
          <w:iCs/>
          <w:color w:val="000000"/>
          <w:sz w:val="22"/>
          <w:szCs w:val="22"/>
        </w:rPr>
        <w:t xml:space="preserve">Trichogramma</w:t>
      </w:r>
      <w:r>
        <w:rPr>
          <w:rFonts w:ascii="Calibri" w:hAnsi="Calibri" w:eastAsia="Calibri" w:cs="Calibri"/>
          <w:color w:val="000000"/>
          <w:sz w:val="22"/>
          <w:szCs w:val="22"/>
        </w:rPr>
        <w:t xml:space="preserve"> (Hymenoptera: Trichogrammatidae), to parasitize eggs of tomato pinworm. Of the six species, </w:t>
      </w:r>
      <w:r>
        <w:rPr>
          <w:rFonts w:ascii="Calibri" w:hAnsi="Calibri" w:eastAsia="Calibri" w:cs="Calibri"/>
          <w:i/>
          <w:iCs/>
          <w:color w:val="000000"/>
          <w:sz w:val="22"/>
          <w:szCs w:val="22"/>
        </w:rPr>
        <w:t xml:space="preserve">Trichogramma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pretiosum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Trichogramma brassicae</w:t>
      </w:r>
      <w:r>
        <w:rPr>
          <w:rFonts w:ascii="Calibri" w:hAnsi="Calibri" w:eastAsia="Calibri" w:cs="Calibri"/>
          <w:color w:val="000000"/>
          <w:sz w:val="22"/>
          <w:szCs w:val="22"/>
        </w:rPr>
        <w:t xml:space="preserve"> parasitized the highest proportion of eggs (40–50%) (Shipp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w:t>
      </w:r>
      <w:r>
        <w:rPr>
          <w:rFonts w:ascii="Calibri" w:hAnsi="Calibri" w:eastAsia="Calibri" w:cs="Calibri"/>
          <w:i/>
          <w:iCs/>
          <w:color w:val="000000"/>
          <w:sz w:val="22"/>
          <w:szCs w:val="22"/>
        </w:rPr>
        <w:t xml:space="preserve">Trichogramma</w:t>
      </w:r>
      <w:r>
        <w:rPr>
          <w:rFonts w:ascii="Calibri" w:hAnsi="Calibri" w:eastAsia="Calibri" w:cs="Calibri"/>
          <w:color w:val="000000"/>
          <w:sz w:val="22"/>
          <w:szCs w:val="22"/>
        </w:rPr>
        <w:t xml:space="preserve"> species, due to their high effectiveness, are widely used in many countries in biological control programs against lepidopteran pest species in Solanaceae, including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Keiferia lycopersicella </w:t>
      </w:r>
      <w:r>
        <w:rPr>
          <w:rFonts w:ascii="Calibri" w:hAnsi="Calibri" w:eastAsia="Calibri" w:cs="Calibri"/>
          <w:color w:val="000000"/>
          <w:sz w:val="22"/>
          <w:szCs w:val="22"/>
        </w:rPr>
        <w:t xml:space="preserve">is potentially a serious pest of tomato (and possibly eggplant) in the warmer parts of the EPPO region, both in the field and in protected conditions. In countries where measures are implemented against </w:t>
      </w:r>
      <w:r>
        <w:rPr>
          <w:rFonts w:ascii="Calibri" w:hAnsi="Calibri" w:eastAsia="Calibri" w:cs="Calibri"/>
          <w:i/>
          <w:iCs/>
          <w:color w:val="000000"/>
          <w:sz w:val="22"/>
          <w:szCs w:val="22"/>
        </w:rPr>
        <w:t xml:space="preserve">Tuta absoluta </w:t>
      </w:r>
      <w:r>
        <w:rPr>
          <w:rFonts w:ascii="Calibri" w:hAnsi="Calibri" w:eastAsia="Calibri" w:cs="Calibri"/>
          <w:color w:val="000000"/>
          <w:sz w:val="22"/>
          <w:szCs w:val="22"/>
        </w:rPr>
        <w:t xml:space="preserve">(e.g. screenhouses) the impact may be lower.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(EPPO, 2012) that plants for planting and fruits of tomato and eggplant originating from countries where </w:t>
      </w:r>
      <w:r>
        <w:rPr>
          <w:rFonts w:ascii="Calibri" w:hAnsi="Calibri" w:eastAsia="Calibri" w:cs="Calibri"/>
          <w:i/>
          <w:iCs/>
          <w:color w:val="000000"/>
          <w:sz w:val="22"/>
          <w:szCs w:val="22"/>
        </w:rPr>
        <w:t xml:space="preserve">K. lycopersicella </w:t>
      </w:r>
      <w:r>
        <w:rPr>
          <w:rFonts w:ascii="Calibri" w:hAnsi="Calibri" w:eastAsia="Calibri" w:cs="Calibri"/>
          <w:color w:val="000000"/>
          <w:sz w:val="22"/>
          <w:szCs w:val="22"/>
        </w:rPr>
        <w:t xml:space="preserve">occurs should be free from the pest. Only new packaging should be used for those importations to avoid contamination of packaging by the pest.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OIRSA region (Belize, Costa Rica, Dominican Republic, El Salvador, Guatemala, Honduras, Mexico, Nicaragua, Panama), it has been recommended that packaging and containers must be clean and free of soil and plant residues, and that the marketing of fruits in bunch and with peduncles should be prohibited (OIRSA, 2016). It is also recommended to prohibit the introduction and importation of substrates or soil samples from countries where the pest occurs. In addition, each country in the OIRSA region should develop specific surveillance plans to verify the absence of the pest and for its timely detection in case of an incursion, develop a communication campaign aimed at educating and raising awareness among the population most likely to spread the pest, strengthen the inspections at ports, airports and borders, in order to detect prohibited or risky materials (OIRSA,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Anaya RS &amp; Romero NJ (1999) Hortalizas plagas y enfermedades. México, Trillas. pp. 268-269.</w:t>
      </w:r>
    </w:p>
    <w:p>
      <w:pPr>
        <w:widowControl w:val="on"/>
        <w:pBdr/>
        <w:spacing w:before="220" w:after="220" w:line="240" w:lineRule="auto"/>
        <w:ind w:left="0" w:right="0"/>
        <w:jc w:val="left"/>
      </w:pPr>
      <w:r>
        <w:rPr>
          <w:rFonts w:ascii="Calibri" w:hAnsi="Calibri" w:eastAsia="Calibri" w:cs="Calibri"/>
          <w:color w:val="000000"/>
          <w:sz w:val="22"/>
          <w:szCs w:val="22"/>
        </w:rPr>
        <w:t xml:space="preserve">Chaves Platin FL (1962) Efectividad de varios insecticidas en el control del cogollero del tomate. </w:t>
      </w:r>
      <w:r>
        <w:rPr>
          <w:rFonts w:ascii="Calibri" w:hAnsi="Calibri" w:eastAsia="Calibri" w:cs="Calibri"/>
          <w:i/>
          <w:iCs/>
          <w:color w:val="000000"/>
          <w:sz w:val="22"/>
          <w:szCs w:val="22"/>
        </w:rPr>
        <w:t xml:space="preserve">Keiferia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lycopersicella</w:t>
      </w:r>
      <w:r>
        <w:rPr>
          <w:rFonts w:ascii="Calibri" w:hAnsi="Calibri" w:eastAsia="Calibri" w:cs="Calibri"/>
          <w:color w:val="000000"/>
          <w:sz w:val="22"/>
          <w:szCs w:val="22"/>
        </w:rPr>
        <w:t xml:space="preserve"> (Busck). </w:t>
      </w:r>
      <w:r>
        <w:rPr>
          <w:rFonts w:ascii="Calibri" w:hAnsi="Calibri" w:eastAsia="Calibri" w:cs="Calibri"/>
          <w:i/>
          <w:iCs/>
          <w:color w:val="000000"/>
          <w:sz w:val="22"/>
          <w:szCs w:val="22"/>
        </w:rPr>
        <w:t xml:space="preserve">Acta Agronómica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(1-2), 17–47. Available at: </w:t>
      </w:r>
      <w:hyperlink r:id="rId14106abfe3d5004cb" w:history="1">
        <w:r>
          <w:rPr>
            <w:rFonts w:ascii="Calibri" w:hAnsi="Calibri" w:eastAsia="Calibri" w:cs="Calibri"/>
            <w:color w:val="0000CC"/>
            <w:sz w:val="22"/>
            <w:szCs w:val="22"/>
            <w:u w:val="single"/>
          </w:rPr>
          <w:t xml:space="preserve">https://revistas.unal.edu.co/index.php/acta_agronomica/article/view/48950/50032</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Elmore JC &amp; Howland AF (1943) Life history and control of the tomato pinworm. </w:t>
      </w:r>
      <w:r>
        <w:rPr>
          <w:rFonts w:ascii="Calibri" w:hAnsi="Calibri" w:eastAsia="Calibri" w:cs="Calibri"/>
          <w:i/>
          <w:iCs/>
          <w:color w:val="000000"/>
          <w:sz w:val="22"/>
          <w:szCs w:val="22"/>
        </w:rPr>
        <w:t xml:space="preserve">USDA Technical Bulletin </w:t>
      </w:r>
      <w:r>
        <w:rPr>
          <w:rFonts w:ascii="Calibri" w:hAnsi="Calibri" w:eastAsia="Calibri" w:cs="Calibri"/>
          <w:color w:val="000000"/>
          <w:sz w:val="22"/>
          <w:szCs w:val="22"/>
        </w:rPr>
        <w:t xml:space="preserve">841, 30 pp. Available at: </w:t>
      </w:r>
      <w:hyperlink r:id="rId29806abfe3d500530" w:history="1">
        <w:r>
          <w:rPr>
            <w:rFonts w:ascii="Calibri" w:hAnsi="Calibri" w:eastAsia="Calibri" w:cs="Calibri"/>
            <w:color w:val="0000CC"/>
            <w:sz w:val="22"/>
            <w:szCs w:val="22"/>
            <w:u w:val="single"/>
          </w:rPr>
          <w:t xml:space="preserve">https://naldc.nal.usda.gov/download/CAT86200834/PDF</w:t>
        </w:r>
      </w:hyperlink>
      <w:r>
        <w:rPr>
          <w:rFonts w:ascii="Calibri" w:hAnsi="Calibri" w:eastAsia="Calibri" w:cs="Calibri"/>
          <w:color w:val="000000"/>
          <w:sz w:val="22"/>
          <w:szCs w:val="22"/>
        </w:rPr>
        <w:t xml:space="preserve"> (last accessed April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 Pest Risk Analysis for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EPPO, Paris. </w:t>
      </w:r>
      <w:hyperlink r:id="rId72176abfe3d500590" w:history="1">
        <w:r>
          <w:rPr>
            <w:rFonts w:ascii="Calibri" w:hAnsi="Calibri" w:eastAsia="Calibri" w:cs="Calibri"/>
            <w:color w:val="0000CC"/>
            <w:sz w:val="22"/>
            <w:szCs w:val="22"/>
            <w:u w:val="single"/>
          </w:rPr>
          <w:t xml:space="preserve">https://pra.eppo.int/pra/e6e981ee-b9d3-4aa4-80e1-8acd5fa48a90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Figueroa PA (1950) El cogollero del tomate en el valle del Cauca, Colombia.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(Busk), Lepidoptera – Gelechiidae. </w:t>
      </w:r>
      <w:r>
        <w:rPr>
          <w:rFonts w:ascii="Calibri" w:hAnsi="Calibri" w:eastAsia="Calibri" w:cs="Calibri"/>
          <w:i/>
          <w:iCs/>
          <w:color w:val="000000"/>
          <w:sz w:val="22"/>
          <w:szCs w:val="22"/>
        </w:rPr>
        <w:t xml:space="preserve">Acta agronómica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9 pp. Available at: </w:t>
      </w:r>
      <w:hyperlink r:id="rId62246abfe3d500623" w:history="1">
        <w:r>
          <w:rPr>
            <w:rFonts w:ascii="Calibri" w:hAnsi="Calibri" w:eastAsia="Calibri" w:cs="Calibri"/>
            <w:color w:val="0000CC"/>
            <w:sz w:val="22"/>
            <w:szCs w:val="22"/>
            <w:u w:val="single"/>
          </w:rPr>
          <w:t xml:space="preserve">https://revistas.unal.edu.co/index.php/acta_agronomica/article/view/49438/50422</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Garland JA (ed) (1989) Intercepted Plant Pests 1988-89/Ravageurs interceptés 1988/1989. (Chapter 3. Disease and pest management). Agriculture Canada, Plant Protection Division, Ottawa. 41 pp. Available at: </w:t>
      </w:r>
      <w:hyperlink r:id="rId99486abfe3d500664" w:history="1">
        <w:r>
          <w:rPr>
            <w:rFonts w:ascii="Calibri" w:hAnsi="Calibri" w:eastAsia="Calibri" w:cs="Calibri"/>
            <w:color w:val="0000CC"/>
            <w:sz w:val="22"/>
            <w:szCs w:val="22"/>
            <w:u w:val="single"/>
          </w:rPr>
          <w:t xml:space="preserve">https://phytopath.ca/wp-content/uploads/2015/03/DPVCC-Chapter-3-pest-management.pdf</w:t>
        </w:r>
      </w:hyperlink>
      <w:r>
        <w:rPr>
          <w:rFonts w:ascii="Calibri" w:hAnsi="Calibri" w:eastAsia="Calibri" w:cs="Calibri"/>
          <w:color w:val="000000"/>
          <w:sz w:val="22"/>
          <w:szCs w:val="22"/>
        </w:rPr>
        <w:t xml:space="preserve"> (Last accessed May 2022). </w:t>
      </w:r>
    </w:p>
    <w:p>
      <w:pPr>
        <w:widowControl w:val="on"/>
        <w:pBdr/>
        <w:spacing w:before="220" w:after="220" w:line="240" w:lineRule="auto"/>
        <w:ind w:left="0" w:right="0"/>
        <w:jc w:val="left"/>
      </w:pPr>
      <w:r>
        <w:rPr>
          <w:rFonts w:ascii="Calibri" w:hAnsi="Calibri" w:eastAsia="Calibri" w:cs="Calibri"/>
          <w:color w:val="000000"/>
          <w:sz w:val="22"/>
          <w:szCs w:val="22"/>
        </w:rPr>
        <w:t xml:space="preserve">Geraud-Pouey F, Sánchez B &amp; Chirinos DT (1997) Biología del minador del tomate,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(Lepidóptera: Gelechiidae) y potencial para desarrollar sus poblaciones. </w:t>
      </w:r>
      <w:r>
        <w:rPr>
          <w:rFonts w:ascii="Calibri" w:hAnsi="Calibri" w:eastAsia="Calibri" w:cs="Calibri"/>
          <w:i/>
          <w:iCs/>
          <w:color w:val="000000"/>
          <w:sz w:val="22"/>
          <w:szCs w:val="22"/>
        </w:rPr>
        <w:t xml:space="preserve">Revista de la Facultad de Agronomía de La Universidad del Zulia</w:t>
      </w:r>
      <w:r>
        <w:rPr>
          <w:rFonts w:ascii="Calibri" w:hAnsi="Calibri" w:eastAsia="Calibri" w:cs="Calibri"/>
          <w:color w:val="000000"/>
          <w:sz w:val="22"/>
          <w:szCs w:val="22"/>
        </w:rPr>
        <w:t xml:space="preserve">, Venezuela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329-339. Available at: </w:t>
      </w:r>
      <w:hyperlink r:id="rId20556abfe3d500703" w:history="1">
        <w:r>
          <w:rPr>
            <w:rFonts w:ascii="Calibri" w:hAnsi="Calibri" w:eastAsia="Calibri" w:cs="Calibri"/>
            <w:color w:val="0000CC"/>
            <w:sz w:val="22"/>
            <w:szCs w:val="22"/>
            <w:u w:val="single"/>
          </w:rPr>
          <w:t xml:space="preserve">https://produccioncientificaluz.org/index.php/agronomia/article/view/26143/26769</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Guevara CHF (2000) Dinámica poblacional y sincronía biológica de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(Walsingham) en el cultivo del tomate variedad entero grande en los Santos, Panamá, durante 1999, Tesis en opción al grado académico de Maestría en entomología. Universidad de Panamá. Available at: </w:t>
      </w:r>
      <w:hyperlink r:id="rId72446abfe3d500764" w:history="1">
        <w:r>
          <w:rPr>
            <w:rFonts w:ascii="Calibri" w:hAnsi="Calibri" w:eastAsia="Calibri" w:cs="Calibri"/>
            <w:color w:val="0000CC"/>
            <w:sz w:val="22"/>
            <w:szCs w:val="22"/>
            <w:u w:val="single"/>
          </w:rPr>
          <w:t xml:space="preserve">http://up-rid.up.ac.pa/3003/1/filadelfo_guevara.pdf</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Jiménez JM, Toscano CN, Flaherty LD, Ilic P, Zalom GF &amp; Kido K (1988) Controlling tomato pinworm by mating disruption. California Agriculture, November – December 1988. Available at: </w:t>
      </w:r>
      <w:hyperlink r:id="rId77706abfe3d5007a3" w:history="1">
        <w:r>
          <w:rPr>
            <w:rFonts w:ascii="Calibri" w:hAnsi="Calibri" w:eastAsia="Calibri" w:cs="Calibri"/>
            <w:color w:val="0000CC"/>
            <w:sz w:val="22"/>
            <w:szCs w:val="22"/>
            <w:u w:val="single"/>
          </w:rPr>
          <w:t xml:space="preserve">https://calag.ucanr.edu/archive/?type=pdf&amp;article=ca.v042n06p10</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Lin SYH &amp; Trumble JT (1983) Bibliography of the tomato pinworm, </w:t>
      </w:r>
      <w:r>
        <w:rPr>
          <w:rFonts w:ascii="Calibri" w:hAnsi="Calibri" w:eastAsia="Calibri" w:cs="Calibri"/>
          <w:i/>
          <w:iCs/>
          <w:color w:val="000000"/>
          <w:sz w:val="22"/>
          <w:szCs w:val="22"/>
        </w:rPr>
        <w:t xml:space="preserve">Keiferia lycopersicella </w:t>
      </w:r>
      <w:r>
        <w:rPr>
          <w:rFonts w:ascii="Calibri" w:hAnsi="Calibri" w:eastAsia="Calibri" w:cs="Calibri"/>
          <w:color w:val="000000"/>
          <w:sz w:val="22"/>
          <w:szCs w:val="22"/>
        </w:rPr>
        <w:t xml:space="preserve">(Walsingham) (Lepidoptera: Gelechiidae). </w:t>
      </w:r>
      <w:r>
        <w:rPr>
          <w:rFonts w:ascii="Calibri" w:hAnsi="Calibri" w:eastAsia="Calibri" w:cs="Calibri"/>
          <w:i/>
          <w:iCs/>
          <w:color w:val="000000"/>
          <w:sz w:val="22"/>
          <w:szCs w:val="22"/>
        </w:rPr>
        <w:t xml:space="preserve">Entomogical Society of America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65–74. Available at: </w:t>
      </w:r>
      <w:hyperlink r:id="rId86596abfe3d500833" w:history="1">
        <w:r>
          <w:rPr>
            <w:rFonts w:ascii="Calibri" w:hAnsi="Calibri" w:eastAsia="Calibri" w:cs="Calibri"/>
            <w:color w:val="0000CC"/>
            <w:sz w:val="22"/>
            <w:szCs w:val="22"/>
            <w:u w:val="single"/>
          </w:rPr>
          <w:t xml:space="preserve">https://academic.oup.com/ee/article/14/6/855/336712</w:t>
        </w:r>
      </w:hyperlink>
      <w:r>
        <w:rPr>
          <w:rFonts w:ascii="Calibri" w:hAnsi="Calibri" w:eastAsia="Calibri" w:cs="Calibri"/>
          <w:color w:val="000000"/>
          <w:sz w:val="22"/>
          <w:szCs w:val="22"/>
        </w:rPr>
        <w:t xml:space="preserve"> (last accessed April 2022).</w:t>
      </w:r>
    </w:p>
    <w:p>
      <w:pPr>
        <w:widowControl w:val="on"/>
        <w:pBdr/>
        <w:spacing w:before="220" w:after="220" w:line="240" w:lineRule="auto"/>
        <w:ind w:left="0" w:right="0"/>
        <w:jc w:val="left"/>
      </w:pPr>
      <w:r>
        <w:rPr>
          <w:rFonts w:ascii="Calibri" w:hAnsi="Calibri" w:eastAsia="Calibri" w:cs="Calibri"/>
          <w:color w:val="000000"/>
          <w:sz w:val="22"/>
          <w:szCs w:val="22"/>
        </w:rPr>
        <w:t xml:space="preserve">Lin SYH &amp; Trumble JT (1985) Influence of temperature and tomato maturity on development and survival of </w:t>
      </w:r>
      <w:r>
        <w:rPr>
          <w:rFonts w:ascii="Calibri" w:hAnsi="Calibri" w:eastAsia="Calibri" w:cs="Calibri"/>
          <w:i/>
          <w:iCs/>
          <w:color w:val="000000"/>
          <w:sz w:val="22"/>
          <w:szCs w:val="22"/>
        </w:rPr>
        <w:t xml:space="preserve">Keiferia lycopersicella </w:t>
      </w:r>
      <w:r>
        <w:rPr>
          <w:rFonts w:ascii="Calibri" w:hAnsi="Calibri" w:eastAsia="Calibri" w:cs="Calibri"/>
          <w:color w:val="000000"/>
          <w:sz w:val="22"/>
          <w:szCs w:val="22"/>
        </w:rPr>
        <w:t xml:space="preserve">(Lepidoptera: Gelechiidae).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855–858.</w:t>
      </w:r>
    </w:p>
    <w:p>
      <w:pPr>
        <w:widowControl w:val="on"/>
        <w:pBdr/>
        <w:spacing w:before="220" w:after="220" w:line="240" w:lineRule="auto"/>
        <w:ind w:left="0" w:right="0"/>
        <w:jc w:val="left"/>
      </w:pPr>
      <w:r>
        <w:rPr>
          <w:rFonts w:ascii="Calibri" w:hAnsi="Calibri" w:eastAsia="Calibri" w:cs="Calibri"/>
          <w:color w:val="000000"/>
          <w:sz w:val="22"/>
          <w:szCs w:val="22"/>
        </w:rPr>
        <w:t xml:space="preserve">Mason PG &amp; Huber JT (eds) (2002) </w:t>
      </w:r>
      <w:r>
        <w:rPr>
          <w:rFonts w:ascii="Calibri" w:hAnsi="Calibri" w:eastAsia="Calibri" w:cs="Calibri"/>
          <w:i/>
          <w:iCs/>
          <w:color w:val="000000"/>
          <w:sz w:val="22"/>
          <w:szCs w:val="22"/>
        </w:rPr>
        <w:t xml:space="preserve">Biological Control Programmes in Canada 1981-2000</w:t>
      </w:r>
      <w:r>
        <w:rPr>
          <w:rFonts w:ascii="Calibri" w:hAnsi="Calibri" w:eastAsia="Calibri" w:cs="Calibri"/>
          <w:color w:val="000000"/>
          <w:sz w:val="22"/>
          <w:szCs w:val="22"/>
        </w:rPr>
        <w:t xml:space="preserve">. CABI, Wallingford, UK, 583 pp. </w:t>
      </w:r>
    </w:p>
    <w:p>
      <w:pPr>
        <w:widowControl w:val="on"/>
        <w:pBdr/>
        <w:spacing w:before="220" w:after="220" w:line="240" w:lineRule="auto"/>
        <w:ind w:left="0" w:right="0"/>
        <w:jc w:val="left"/>
      </w:pPr>
      <w:r>
        <w:rPr>
          <w:rFonts w:ascii="Calibri" w:hAnsi="Calibri" w:eastAsia="Calibri" w:cs="Calibri"/>
          <w:color w:val="000000"/>
          <w:sz w:val="22"/>
          <w:szCs w:val="22"/>
        </w:rPr>
        <w:t xml:space="preserve">Mossler MA (2010) Crop Profile for Eggplant in Florida. IPM data. Southern IPM Center &amp; USDA. </w:t>
      </w:r>
      <w:hyperlink r:id="rId47786abfe3d500921" w:history="1">
        <w:r>
          <w:rPr>
            <w:rFonts w:ascii="Calibri" w:hAnsi="Calibri" w:eastAsia="Calibri" w:cs="Calibri"/>
            <w:color w:val="0000CC"/>
            <w:sz w:val="22"/>
            <w:szCs w:val="22"/>
            <w:u w:val="single"/>
          </w:rPr>
          <w:t xml:space="preserve">https://ipmdata.ipmcenters.org/documents/cropprofiles/FLeggplant2010.pdf</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NAPPO (2015) NAPPO Surveillance Protocols. SP 02 Trapping Protocols for Pests of Fruit entering into NAPPO Member Countries. The Secretariat of the North American Plant Protection Organization, Ottawa, Ontario, Canada. Available at: </w:t>
      </w:r>
      <w:hyperlink r:id="rId91926abfe3d500961" w:history="1">
        <w:r>
          <w:rPr>
            <w:rFonts w:ascii="Calibri" w:hAnsi="Calibri" w:eastAsia="Calibri" w:cs="Calibri"/>
            <w:color w:val="0000CC"/>
            <w:sz w:val="22"/>
            <w:szCs w:val="22"/>
            <w:u w:val="single"/>
          </w:rPr>
          <w:t xml:space="preserve">https://nappo.org/application/files/8015/8322/7237/PV02_Fruit_trapping_Protocols-03-2015-e.pdf</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Oatman ER (1970) Ecological studies of the tomato pinworm on tomato in southern California.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1531–1534.</w:t>
      </w:r>
    </w:p>
    <w:p>
      <w:pPr>
        <w:widowControl w:val="on"/>
        <w:pBdr/>
        <w:spacing w:before="220" w:after="220" w:line="240" w:lineRule="auto"/>
        <w:ind w:left="0" w:right="0"/>
        <w:jc w:val="left"/>
      </w:pPr>
      <w:r>
        <w:rPr>
          <w:rFonts w:ascii="Calibri" w:hAnsi="Calibri" w:eastAsia="Calibri" w:cs="Calibri"/>
          <w:color w:val="000000"/>
          <w:sz w:val="22"/>
          <w:szCs w:val="22"/>
        </w:rPr>
        <w:t xml:space="preserve">OIRSA (2016) Manual de procedimientos para la vigilancia, prevención y control de la polilla del tomate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(Lepidoptera: Gelechiidae) en la región del OIRSA. Documento técnico, Organismo Internacional Regional de Sanidad Agropecuaria 74 pp. </w:t>
      </w:r>
    </w:p>
    <w:p>
      <w:pPr>
        <w:widowControl w:val="on"/>
        <w:pBdr/>
        <w:spacing w:before="220" w:after="220" w:line="240" w:lineRule="auto"/>
        <w:ind w:left="0" w:right="0"/>
        <w:jc w:val="left"/>
      </w:pPr>
      <w:r>
        <w:rPr>
          <w:rFonts w:ascii="Calibri" w:hAnsi="Calibri" w:eastAsia="Calibri" w:cs="Calibri"/>
          <w:color w:val="000000"/>
          <w:sz w:val="22"/>
          <w:szCs w:val="22"/>
        </w:rPr>
        <w:t xml:space="preserve">OIRSA (2018) Plan de Contingencia de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Meyrick para la región del OIRSA. Documento técnico, 36 pp. Organismo Internacional Regional de Sanidad Agropecuaria (unpublished).</w:t>
      </w:r>
    </w:p>
    <w:p>
      <w:pPr>
        <w:widowControl w:val="on"/>
        <w:pBdr/>
        <w:spacing w:before="220" w:after="220" w:line="240" w:lineRule="auto"/>
        <w:ind w:left="0" w:right="0"/>
        <w:jc w:val="left"/>
      </w:pPr>
      <w:r>
        <w:rPr>
          <w:rFonts w:ascii="Calibri" w:hAnsi="Calibri" w:eastAsia="Calibri" w:cs="Calibri"/>
          <w:color w:val="000000"/>
          <w:sz w:val="22"/>
          <w:szCs w:val="22"/>
        </w:rPr>
        <w:t xml:space="preserve">Pena JE (1983) Tomato pinworm,</w:t>
      </w:r>
      <w:r>
        <w:rPr>
          <w:rFonts w:ascii="Calibri" w:hAnsi="Calibri" w:eastAsia="Calibri" w:cs="Calibri"/>
          <w:i/>
          <w:iCs/>
          <w:color w:val="000000"/>
          <w:sz w:val="22"/>
          <w:szCs w:val="22"/>
        </w:rPr>
        <w:t xml:space="preserve"> Keiferia lycopersicella </w:t>
      </w:r>
      <w:r>
        <w:rPr>
          <w:rFonts w:ascii="Calibri" w:hAnsi="Calibri" w:eastAsia="Calibri" w:cs="Calibri"/>
          <w:color w:val="000000"/>
          <w:sz w:val="22"/>
          <w:szCs w:val="22"/>
        </w:rPr>
        <w:t xml:space="preserve">(Walsingham): population dynamics and assessment of plant injury in Southern Florida. Thesis. University of Florida (US).</w:t>
      </w:r>
    </w:p>
    <w:p>
      <w:pPr>
        <w:widowControl w:val="on"/>
        <w:pBdr/>
        <w:spacing w:before="220" w:after="220" w:line="240" w:lineRule="auto"/>
        <w:ind w:left="0" w:right="0"/>
        <w:jc w:val="left"/>
      </w:pPr>
      <w:r>
        <w:rPr>
          <w:rFonts w:ascii="Calibri" w:hAnsi="Calibri" w:eastAsia="Calibri" w:cs="Calibri"/>
          <w:color w:val="000000"/>
          <w:sz w:val="22"/>
          <w:szCs w:val="22"/>
        </w:rPr>
        <w:t xml:space="preserve">Poe SL (1999) Tomato Pinworm,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(Walshingham) (Insecta: Lepidoptera: Gelechiidae). EENY074 (originally published as DPI Entomology Circular No. 131). UF/IFAS Extension, University of Florida, 4 pp. Available at: </w:t>
      </w:r>
      <w:hyperlink r:id="rId89186abfe3d500acf" w:history="1">
        <w:r>
          <w:rPr>
            <w:rFonts w:ascii="Calibri" w:hAnsi="Calibri" w:eastAsia="Calibri" w:cs="Calibri"/>
            <w:color w:val="0000CC"/>
            <w:sz w:val="22"/>
            <w:szCs w:val="22"/>
            <w:u w:val="single"/>
          </w:rPr>
          <w:t xml:space="preserve">https://edis.ifas.ufl.edu/pdf/IN/IN23100.pdf</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Sannino L &amp; Espinosa B (2009)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una nuova tignola su pomodoro. </w:t>
      </w:r>
      <w:r>
        <w:rPr>
          <w:rFonts w:ascii="Calibri" w:hAnsi="Calibri" w:eastAsia="Calibri" w:cs="Calibri"/>
          <w:i/>
          <w:iCs/>
          <w:color w:val="000000"/>
          <w:sz w:val="22"/>
          <w:szCs w:val="22"/>
        </w:rPr>
        <w:t xml:space="preserve">L'Informatore Agrario </w:t>
      </w:r>
      <w:r>
        <w:rPr>
          <w:rFonts w:ascii="Calibri" w:hAnsi="Calibri" w:eastAsia="Calibri" w:cs="Calibri"/>
          <w:color w:val="000000"/>
          <w:sz w:val="22"/>
          <w:szCs w:val="22"/>
        </w:rPr>
        <w:t xml:space="preserve">no. 4, 69-70.</w:t>
      </w:r>
    </w:p>
    <w:p>
      <w:pPr>
        <w:widowControl w:val="on"/>
        <w:pBdr/>
        <w:spacing w:before="220" w:after="220" w:line="240" w:lineRule="auto"/>
        <w:ind w:left="0" w:right="0"/>
        <w:jc w:val="left"/>
      </w:pPr>
      <w:r>
        <w:rPr>
          <w:rFonts w:ascii="Calibri" w:hAnsi="Calibri" w:eastAsia="Calibri" w:cs="Calibri"/>
          <w:color w:val="000000"/>
          <w:sz w:val="22"/>
          <w:szCs w:val="22"/>
        </w:rPr>
        <w:t xml:space="preserve">Saunders JL, Coto DT &amp; Ykinga BS (1998) Plagas invertebradas de cultivos anuales alimenticios en América Central. CATIE, Manual técnico No. 29, 2a. ed. 305 pp.</w:t>
      </w:r>
    </w:p>
    <w:p>
      <w:pPr>
        <w:widowControl w:val="on"/>
        <w:pBdr/>
        <w:spacing w:before="220" w:after="220" w:line="240" w:lineRule="auto"/>
        <w:ind w:left="0" w:right="0"/>
        <w:jc w:val="left"/>
      </w:pPr>
      <w:r>
        <w:rPr>
          <w:rFonts w:ascii="Calibri" w:hAnsi="Calibri" w:eastAsia="Calibri" w:cs="Calibri"/>
          <w:color w:val="000000"/>
          <w:sz w:val="22"/>
          <w:szCs w:val="22"/>
        </w:rPr>
        <w:t xml:space="preserve">Schuster DJ (2006) Tomato pinworm: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Grower’s IPM Guide for Florida Tomato and Pepper Production </w:t>
      </w:r>
      <w:r>
        <w:rPr>
          <w:rFonts w:ascii="Calibri" w:hAnsi="Calibri" w:eastAsia="Calibri" w:cs="Calibri"/>
          <w:color w:val="000000"/>
          <w:sz w:val="22"/>
          <w:szCs w:val="22"/>
        </w:rPr>
        <w:t xml:space="preserve">(Eds Gillett JL, Hans Petersen HN, Leppla NC &amp; Thomas DD), pp. 77–78. IPM, Florida (US). University of Florida. IFAS extension. </w:t>
      </w:r>
    </w:p>
    <w:p>
      <w:pPr>
        <w:widowControl w:val="on"/>
        <w:pBdr/>
        <w:spacing w:before="220" w:after="220" w:line="240" w:lineRule="auto"/>
        <w:ind w:left="0" w:right="0"/>
        <w:jc w:val="left"/>
      </w:pPr>
      <w:r>
        <w:rPr>
          <w:rFonts w:ascii="Calibri" w:hAnsi="Calibri" w:eastAsia="Calibri" w:cs="Calibri"/>
          <w:color w:val="000000"/>
          <w:sz w:val="22"/>
          <w:szCs w:val="22"/>
        </w:rPr>
        <w:t xml:space="preserve">Schuster D (undated) Tomato pinworm: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Available at: </w:t>
      </w:r>
      <w:hyperlink r:id="rId46106abfe3d500c11" w:history="1">
        <w:r>
          <w:rPr>
            <w:rFonts w:ascii="Calibri" w:hAnsi="Calibri" w:eastAsia="Calibri" w:cs="Calibri"/>
            <w:color w:val="0000CC"/>
            <w:sz w:val="22"/>
            <w:szCs w:val="22"/>
            <w:u w:val="single"/>
          </w:rPr>
          <w:t xml:space="preserve">http://ipm.ifas.ufl.edu/resources/success_stories/T&amp;PGuide/pdfs/Chapter4/Tomato_Pinworm.pdf</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Shipp J, Wang K, &amp; Ferguson G (1998) Evaluation of commercially produced </w:t>
      </w:r>
      <w:r>
        <w:rPr>
          <w:rFonts w:ascii="Calibri" w:hAnsi="Calibri" w:eastAsia="Calibri" w:cs="Calibri"/>
          <w:i/>
          <w:iCs/>
          <w:color w:val="000000"/>
          <w:sz w:val="22"/>
          <w:szCs w:val="22"/>
        </w:rPr>
        <w:t xml:space="preserve">Trichogramma</w:t>
      </w:r>
      <w:r>
        <w:rPr>
          <w:rFonts w:ascii="Calibri" w:hAnsi="Calibri" w:eastAsia="Calibri" w:cs="Calibri"/>
          <w:color w:val="000000"/>
          <w:sz w:val="22"/>
          <w:szCs w:val="22"/>
        </w:rPr>
        <w:t xml:space="preserve"> spp. (Hymenoptera: Trichogrammatidae) for control of tomato pinworm,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(Lepidoptera: Gelechiidae), on greenhouse tomatoes.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(5), 721-731. </w:t>
      </w:r>
    </w:p>
    <w:p>
      <w:pPr>
        <w:widowControl w:val="on"/>
        <w:pBdr/>
        <w:spacing w:before="220" w:after="220" w:line="240" w:lineRule="auto"/>
        <w:ind w:left="0" w:right="0"/>
        <w:jc w:val="left"/>
      </w:pPr>
      <w:r>
        <w:rPr>
          <w:rFonts w:ascii="Calibri" w:hAnsi="Calibri" w:eastAsia="Calibri" w:cs="Calibri"/>
          <w:color w:val="000000"/>
          <w:sz w:val="22"/>
          <w:szCs w:val="22"/>
        </w:rPr>
        <w:t xml:space="preserve">Sierra AP, Machado I, Primus K &amp; Pozo VE (2012) Biología de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(Walsingham) en tomate en producción protegida. </w:t>
      </w:r>
      <w:r>
        <w:rPr>
          <w:rFonts w:ascii="Calibri" w:hAnsi="Calibri" w:eastAsia="Calibri" w:cs="Calibri"/>
          <w:i/>
          <w:iCs/>
          <w:color w:val="000000"/>
          <w:sz w:val="22"/>
          <w:szCs w:val="22"/>
        </w:rPr>
        <w:t xml:space="preserve">Centro Agrícola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(4), 63-68. Available at: </w:t>
      </w:r>
      <w:hyperlink r:id="rId45966abfe3d500d47" w:history="1">
        <w:r>
          <w:rPr>
            <w:rFonts w:ascii="Calibri" w:hAnsi="Calibri" w:eastAsia="Calibri" w:cs="Calibri"/>
            <w:color w:val="0000CC"/>
            <w:sz w:val="22"/>
            <w:szCs w:val="22"/>
            <w:u w:val="single"/>
          </w:rPr>
          <w:t xml:space="preserve">http://cagricola.uclv.edu.cu/descargas/pdf/V39-Numero_4/cag124121885.pdf</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Swank GR (1937) Tomato pinworm (</w:t>
      </w:r>
      <w:r>
        <w:rPr>
          <w:rFonts w:ascii="Calibri" w:hAnsi="Calibri" w:eastAsia="Calibri" w:cs="Calibri"/>
          <w:i/>
          <w:iCs/>
          <w:color w:val="000000"/>
          <w:sz w:val="22"/>
          <w:szCs w:val="22"/>
        </w:rPr>
        <w:t xml:space="preserve">Gnorimoschema lycopersicella</w:t>
      </w:r>
      <w:r>
        <w:rPr>
          <w:rFonts w:ascii="Calibri" w:hAnsi="Calibri" w:eastAsia="Calibri" w:cs="Calibri"/>
          <w:color w:val="000000"/>
          <w:sz w:val="22"/>
          <w:szCs w:val="22"/>
        </w:rPr>
        <w:t xml:space="preserve"> Busck) in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33-42. Available at: </w:t>
      </w:r>
      <w:hyperlink r:id="rId92896abfe3d500de3" w:history="1">
        <w:r>
          <w:rPr>
            <w:rFonts w:ascii="Calibri" w:hAnsi="Calibri" w:eastAsia="Calibri" w:cs="Calibri"/>
            <w:color w:val="0000CC"/>
            <w:sz w:val="22"/>
            <w:szCs w:val="22"/>
            <w:u w:val="single"/>
          </w:rPr>
          <w:t xml:space="preserve">https://journals.flvc.org/flaent/article/view/55145/52824</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CA (1933) Observations on the tomato pinworm (</w:t>
      </w:r>
      <w:r>
        <w:rPr>
          <w:rFonts w:ascii="Calibri" w:hAnsi="Calibri" w:eastAsia="Calibri" w:cs="Calibri"/>
          <w:i/>
          <w:iCs/>
          <w:color w:val="000000"/>
          <w:sz w:val="22"/>
          <w:szCs w:val="22"/>
        </w:rPr>
        <w:t xml:space="preserve">Gnorimoschema lycopersicella</w:t>
      </w:r>
      <w:r>
        <w:rPr>
          <w:rFonts w:ascii="Calibri" w:hAnsi="Calibri" w:eastAsia="Calibri" w:cs="Calibri"/>
          <w:color w:val="000000"/>
          <w:sz w:val="22"/>
          <w:szCs w:val="22"/>
        </w:rPr>
        <w:t xml:space="preserve"> Busck) and the eggplant leafminer (</w:t>
      </w:r>
      <w:r>
        <w:rPr>
          <w:rFonts w:ascii="Calibri" w:hAnsi="Calibri" w:eastAsia="Calibri" w:cs="Calibri"/>
          <w:i/>
          <w:iCs/>
          <w:color w:val="000000"/>
          <w:sz w:val="22"/>
          <w:szCs w:val="22"/>
        </w:rPr>
        <w:t xml:space="preserve">G. glochinella</w:t>
      </w:r>
      <w:r>
        <w:rPr>
          <w:rFonts w:ascii="Calibri" w:hAnsi="Calibri" w:eastAsia="Calibri" w:cs="Calibri"/>
          <w:color w:val="000000"/>
          <w:sz w:val="22"/>
          <w:szCs w:val="22"/>
        </w:rPr>
        <w:t xml:space="preserve"> Zeller) in Pennsylvania.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137–143. Available at: </w:t>
      </w:r>
      <w:hyperlink r:id="rId31556abfe3d500e9f" w:history="1">
        <w:r>
          <w:rPr>
            <w:rFonts w:ascii="Calibri" w:hAnsi="Calibri" w:eastAsia="Calibri" w:cs="Calibri"/>
            <w:color w:val="0000CC"/>
            <w:sz w:val="22"/>
            <w:szCs w:val="22"/>
            <w:u w:val="single"/>
          </w:rPr>
          <w:t xml:space="preserve">https://academic.oup.com/jee/article/26/1/137/880974</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Trumble JT &amp; Alvarado-Rodriguez B (1993) Development and economic evaluation of an IPM program for fresh market tomato production in Mexico. </w:t>
      </w:r>
      <w:r>
        <w:rPr>
          <w:rFonts w:ascii="Calibri" w:hAnsi="Calibri" w:eastAsia="Calibri" w:cs="Calibri"/>
          <w:i/>
          <w:iCs/>
          <w:color w:val="000000"/>
          <w:sz w:val="22"/>
          <w:szCs w:val="22"/>
        </w:rPr>
        <w:t xml:space="preserve">Agriculture, Ecosystems and Environment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267–284.</w:t>
      </w:r>
    </w:p>
    <w:p>
      <w:pPr>
        <w:widowControl w:val="on"/>
        <w:pBdr/>
        <w:spacing w:before="220" w:after="220" w:line="240" w:lineRule="auto"/>
        <w:ind w:left="0" w:right="0"/>
        <w:jc w:val="left"/>
      </w:pPr>
      <w:r>
        <w:rPr>
          <w:rFonts w:ascii="Calibri" w:hAnsi="Calibri" w:eastAsia="Calibri" w:cs="Calibri"/>
          <w:color w:val="000000"/>
          <w:sz w:val="22"/>
          <w:szCs w:val="22"/>
        </w:rPr>
        <w:t xml:space="preserve">Weinberg HL &amp; Lange WH (1980) Developmental rate and lower temperature threshold of the tomato pinworm.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245–246.</w:t>
      </w:r>
    </w:p>
    <w:p>
      <w:pPr>
        <w:widowControl w:val="on"/>
        <w:pBdr/>
        <w:spacing w:before="220" w:after="220" w:line="240" w:lineRule="auto"/>
        <w:ind w:left="0" w:right="0"/>
        <w:jc w:val="left"/>
      </w:pPr>
      <w:r>
        <w:rPr>
          <w:rFonts w:ascii="Calibri" w:hAnsi="Calibri" w:eastAsia="Calibri" w:cs="Calibri"/>
          <w:color w:val="000000"/>
          <w:sz w:val="22"/>
          <w:szCs w:val="22"/>
        </w:rPr>
        <w:t xml:space="preserve">Zimmerman EC (1978) Insects of Hawaii a manual of the insects of the Hawaiian Islands, including an enumeration of the species and notes on their origin, distribution, hosts, parasites, etc. Vol. 9. Part II. Gelechioidea. University Press of Hawaii, Honolulu (US), 883-1903. Available at: </w:t>
      </w:r>
      <w:hyperlink r:id="rId30996abfe3d500fa8" w:history="1">
        <w:r>
          <w:rPr>
            <w:rFonts w:ascii="Calibri" w:hAnsi="Calibri" w:eastAsia="Calibri" w:cs="Calibri"/>
            <w:color w:val="0000CC"/>
            <w:sz w:val="22"/>
            <w:szCs w:val="22"/>
            <w:u w:val="single"/>
          </w:rPr>
          <w:t xml:space="preserve">https://scholarspace.manoa.hawaii.edu/items/d865dd6c-9e33-455f-8f11-a059bfc19d94</w:t>
        </w:r>
      </w:hyperlink>
      <w:r>
        <w:rPr>
          <w:rFonts w:ascii="Calibri" w:hAnsi="Calibri" w:eastAsia="Calibri" w:cs="Calibri"/>
          <w:color w:val="000000"/>
          <w:sz w:val="22"/>
          <w:szCs w:val="22"/>
        </w:rPr>
        <w:t xml:space="preserve"> (last accessed May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César Ramos Méndez, Oficial agrosanitario, Organismo Internacional Regional de Sanidad Agropecuaria (OIRSA), Representación México.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EPPO datasheets on pests recommended for regulation. Available online. </w:t>
      </w:r>
      <w:hyperlink r:id="rId84546abfe3d50106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2013,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(2013) </w:t>
      </w:r>
      <w:r>
        <w:rPr>
          <w:rFonts w:ascii="Calibri" w:hAnsi="Calibri" w:eastAsia="Calibri" w:cs="Calibri"/>
          <w:i/>
          <w:iCs/>
          <w:color w:val="000000"/>
          <w:sz w:val="22"/>
          <w:szCs w:val="22"/>
        </w:rPr>
        <w:t xml:space="preserve">Keiferia lycopersicella</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(1), 141-143. </w:t>
      </w:r>
      <w:hyperlink r:id="rId36066abfe3d501134" w:history="1">
        <w:r>
          <w:rPr>
            <w:rFonts w:ascii="Calibri" w:hAnsi="Calibri" w:eastAsia="Calibri" w:cs="Calibri"/>
            <w:color w:val="0000CC"/>
            <w:sz w:val="22"/>
            <w:szCs w:val="22"/>
            <w:u w:val="single"/>
          </w:rPr>
          <w:t xml:space="preserve">https://doi.org/10.1111/epp.12026</w:t>
        </w:r>
      </w:hyperlink>
    </w:p>
    <w:p>
      <w:r>
        <w:drawing>
          <wp:inline distT="0" distB="0" distL="0" distR="0">
            <wp:extent cx="1800000" cy="604800"/>
            <wp:docPr id="39025026" name="name11186abfe3d5011c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5336abfe3d5011c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10917">
    <w:multiLevelType w:val="hybridMultilevel"/>
    <w:lvl w:ilvl="0" w:tplc="25752678">
      <w:start w:val="1"/>
      <w:numFmt w:val="decimal"/>
      <w:lvlText w:val="%1."/>
      <w:lvlJc w:val="left"/>
      <w:pPr>
        <w:ind w:left="720" w:hanging="360"/>
      </w:pPr>
    </w:lvl>
    <w:lvl w:ilvl="1" w:tplc="25752678" w:tentative="1">
      <w:start w:val="1"/>
      <w:numFmt w:val="lowerLetter"/>
      <w:lvlText w:val="%2."/>
      <w:lvlJc w:val="left"/>
      <w:pPr>
        <w:ind w:left="1440" w:hanging="360"/>
      </w:pPr>
    </w:lvl>
    <w:lvl w:ilvl="2" w:tplc="25752678" w:tentative="1">
      <w:start w:val="1"/>
      <w:numFmt w:val="lowerRoman"/>
      <w:lvlText w:val="%3."/>
      <w:lvlJc w:val="right"/>
      <w:pPr>
        <w:ind w:left="2160" w:hanging="180"/>
      </w:pPr>
    </w:lvl>
    <w:lvl w:ilvl="3" w:tplc="25752678" w:tentative="1">
      <w:start w:val="1"/>
      <w:numFmt w:val="decimal"/>
      <w:lvlText w:val="%4."/>
      <w:lvlJc w:val="left"/>
      <w:pPr>
        <w:ind w:left="2880" w:hanging="360"/>
      </w:pPr>
    </w:lvl>
    <w:lvl w:ilvl="4" w:tplc="25752678" w:tentative="1">
      <w:start w:val="1"/>
      <w:numFmt w:val="lowerLetter"/>
      <w:lvlText w:val="%5."/>
      <w:lvlJc w:val="left"/>
      <w:pPr>
        <w:ind w:left="3600" w:hanging="360"/>
      </w:pPr>
    </w:lvl>
    <w:lvl w:ilvl="5" w:tplc="25752678" w:tentative="1">
      <w:start w:val="1"/>
      <w:numFmt w:val="lowerRoman"/>
      <w:lvlText w:val="%6."/>
      <w:lvlJc w:val="right"/>
      <w:pPr>
        <w:ind w:left="4320" w:hanging="180"/>
      </w:pPr>
    </w:lvl>
    <w:lvl w:ilvl="6" w:tplc="25752678" w:tentative="1">
      <w:start w:val="1"/>
      <w:numFmt w:val="decimal"/>
      <w:lvlText w:val="%7."/>
      <w:lvlJc w:val="left"/>
      <w:pPr>
        <w:ind w:left="5040" w:hanging="360"/>
      </w:pPr>
    </w:lvl>
    <w:lvl w:ilvl="7" w:tplc="25752678" w:tentative="1">
      <w:start w:val="1"/>
      <w:numFmt w:val="lowerLetter"/>
      <w:lvlText w:val="%8."/>
      <w:lvlJc w:val="left"/>
      <w:pPr>
        <w:ind w:left="5760" w:hanging="360"/>
      </w:pPr>
    </w:lvl>
    <w:lvl w:ilvl="8" w:tplc="25752678" w:tentative="1">
      <w:start w:val="1"/>
      <w:numFmt w:val="lowerRoman"/>
      <w:lvlText w:val="%9."/>
      <w:lvlJc w:val="right"/>
      <w:pPr>
        <w:ind w:left="6480" w:hanging="180"/>
      </w:pPr>
    </w:lvl>
  </w:abstractNum>
  <w:abstractNum w:abstractNumId="79010916">
    <w:multiLevelType w:val="hybridMultilevel"/>
    <w:lvl w:ilvl="0" w:tplc="13785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10916">
    <w:abstractNumId w:val="79010916"/>
  </w:num>
  <w:num w:numId="79010917">
    <w:abstractNumId w:val="7901091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0416022" Type="http://schemas.microsoft.com/office/2011/relationships/commentsExtended" Target="commentsExtended.xml"/><Relationship Id="rId436469937" Type="http://schemas.microsoft.com/office/2011/relationships/people" Target="people.xml"/><Relationship Id="rId55196abfe3d4f2126" Type="http://schemas.openxmlformats.org/officeDocument/2006/relationships/hyperlink" Target="https://gd.eppo.int/taxon/GNORLY/" TargetMode="External"/><Relationship Id="rId64626abfe3d4f2192" Type="http://schemas.openxmlformats.org/officeDocument/2006/relationships/hyperlink" Target="https://gd.eppo.int/taxon/GNORLY/categorization" TargetMode="External"/><Relationship Id="rId69486abfe3d4f2917" Type="http://schemas.openxmlformats.org/officeDocument/2006/relationships/hyperlink" Target="https://gd.eppo.int/taxon/GNORLY/photos" TargetMode="External"/><Relationship Id="rId14106abfe3d5004cb" Type="http://schemas.openxmlformats.org/officeDocument/2006/relationships/hyperlink" Target="https://revistas.unal.edu.co/index.php/acta_agronomica/article/view/48950/50032" TargetMode="External"/><Relationship Id="rId29806abfe3d500530" Type="http://schemas.openxmlformats.org/officeDocument/2006/relationships/hyperlink" Target="https://naldc.nal.usda.gov/download/CAT86200834/PDF" TargetMode="External"/><Relationship Id="rId72176abfe3d500590" Type="http://schemas.openxmlformats.org/officeDocument/2006/relationships/hyperlink" Target="https://pra.eppo.int/pra/e6e981ee-b9d3-4aa4-80e1-8acd5fa48a90" TargetMode="External"/><Relationship Id="rId62246abfe3d500623" Type="http://schemas.openxmlformats.org/officeDocument/2006/relationships/hyperlink" Target="https://revistas.unal.edu.co/index.php/acta_agronomica/article/view/49438/50422" TargetMode="External"/><Relationship Id="rId99486abfe3d500664" Type="http://schemas.openxmlformats.org/officeDocument/2006/relationships/hyperlink" Target="https://phytopath.ca/wp-content/uploads/2015/03/DPVCC-Chapter-3-pest-management.pdf" TargetMode="External"/><Relationship Id="rId20556abfe3d500703" Type="http://schemas.openxmlformats.org/officeDocument/2006/relationships/hyperlink" Target="https://produccioncientificaluz.org/index.php/agronomia/article/view/26143/26769" TargetMode="External"/><Relationship Id="rId72446abfe3d500764" Type="http://schemas.openxmlformats.org/officeDocument/2006/relationships/hyperlink" Target="http://up-rid.up.ac.pa/3003/1/filadelfo_guevara.pdf" TargetMode="External"/><Relationship Id="rId77706abfe3d5007a3" Type="http://schemas.openxmlformats.org/officeDocument/2006/relationships/hyperlink" Target="https://calag.ucanr.edu/archive/?type=pdf&amp;article=ca.v042n06p10" TargetMode="External"/><Relationship Id="rId86596abfe3d500833" Type="http://schemas.openxmlformats.org/officeDocument/2006/relationships/hyperlink" Target="https://academic.oup.com/ee/article/14/6/855/336712" TargetMode="External"/><Relationship Id="rId47786abfe3d500921" Type="http://schemas.openxmlformats.org/officeDocument/2006/relationships/hyperlink" Target="https://ipmdata.ipmcenters.org/documents/cropprofiles/FLeggplant2010.pdf" TargetMode="External"/><Relationship Id="rId91926abfe3d500961" Type="http://schemas.openxmlformats.org/officeDocument/2006/relationships/hyperlink" Target="https://nappo.org/application/files/8015/8322/7237/PV02_Fruit_trapping_Protocols-03-2015-e.pdf" TargetMode="External"/><Relationship Id="rId89186abfe3d500acf" Type="http://schemas.openxmlformats.org/officeDocument/2006/relationships/hyperlink" Target="https://edis.ifas.ufl.edu/pdf/IN/IN23100.pdf" TargetMode="External"/><Relationship Id="rId46106abfe3d500c11" Type="http://schemas.openxmlformats.org/officeDocument/2006/relationships/hyperlink" Target="http://ipm.ifas.ufl.edu/resources/success_stories/T&amp;PGuide/pdfs/Chapter4/Tomato_Pinworm.pdf" TargetMode="External"/><Relationship Id="rId45966abfe3d500d47" Type="http://schemas.openxmlformats.org/officeDocument/2006/relationships/hyperlink" Target="http://cagricola.uclv.edu.cu/descargas/pdf/V39-Numero_4/cag124121885.pdf" TargetMode="External"/><Relationship Id="rId92896abfe3d500de3" Type="http://schemas.openxmlformats.org/officeDocument/2006/relationships/hyperlink" Target="https://journals.flvc.org/flaent/article/view/55145/52824" TargetMode="External"/><Relationship Id="rId31556abfe3d500e9f" Type="http://schemas.openxmlformats.org/officeDocument/2006/relationships/hyperlink" Target="https://academic.oup.com/jee/article/26/1/137/880974" TargetMode="External"/><Relationship Id="rId30996abfe3d500fa8" Type="http://schemas.openxmlformats.org/officeDocument/2006/relationships/hyperlink" Target="https://scholarspace.manoa.hawaii.edu/items/d865dd6c-9e33-455f-8f11-a059bfc19d94" TargetMode="External"/><Relationship Id="rId84546abfe3d50106d" Type="http://schemas.openxmlformats.org/officeDocument/2006/relationships/hyperlink" Target="https://gd.eppo.int" TargetMode="External"/><Relationship Id="rId36066abfe3d501134" Type="http://schemas.openxmlformats.org/officeDocument/2006/relationships/hyperlink" Target="https://doi.org/10.1111/epp.12026" TargetMode="External"/><Relationship Id="rId30146abfe3d4f2812" Type="http://schemas.openxmlformats.org/officeDocument/2006/relationships/image" Target="media/imgrId30146abfe3d4f2812.jpg"/><Relationship Id="rId52656abfe3d4f3bef" Type="http://schemas.openxmlformats.org/officeDocument/2006/relationships/image" Target="media/imgrId52656abfe3d4f3bef.jpg"/><Relationship Id="rId75336abfe3d5011c0" Type="http://schemas.openxmlformats.org/officeDocument/2006/relationships/image" Target="media/imgrId75336abfe3d5011c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