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circinatum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circinatum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lateritium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Fusarium subglutinans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Gibberella circinata</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pitch canker of pine</w:t>
            </w:r>
            <w:hyperlink r:id="rId8780662a295fee3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2340662a295fee42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GIBBCI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5862082" name="name5993662a295fee7ac" descr="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7.jpg"/>
                          <pic:cNvPicPr/>
                        </pic:nvPicPr>
                        <pic:blipFill>
                          <a:blip r:embed="rId9871662a295fee7a9" cstate="print"/>
                          <a:stretch>
                            <a:fillRect/>
                          </a:stretch>
                        </pic:blipFill>
                        <pic:spPr>
                          <a:xfrm>
                            <a:off x="0" y="0"/>
                            <a:ext cx="2160000" cy="1281600"/>
                          </a:xfrm>
                          <a:prstGeom prst="rect">
                            <a:avLst/>
                          </a:prstGeom>
                          <a:ln w="0">
                            <a:noFill/>
                          </a:ln>
                        </pic:spPr>
                      </pic:pic>
                    </a:graphicData>
                  </a:graphic>
                </wp:inline>
              </w:drawing>
            </w:r>
            <w:hyperlink r:id="rId9474662a295fee8d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infects mainly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It has been reported to infect 106 different host species, including 67 Pinus species, 18 Pinus hybrids, 6 non-pine tree species, and 15 grass and herb species which are hosts under natural conditions or show symptoms after artificial inoculation (Drenkhan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North America, its main native hosts are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muricata</w:t>
      </w:r>
      <w:r>
        <w:rPr>
          <w:rFonts w:ascii="Calibri" w:hAnsi="Calibri" w:eastAsia="Calibri" w:cs="Calibri"/>
          <w:color w:val="000000"/>
          <w:sz w:val="22"/>
          <w:szCs w:val="22"/>
        </w:rPr>
        <w:t xml:space="preserve">. Host species are available throughout the European territory, including the European and Mediterranean species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various North American species planted in Europe such as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and certain Asian species (e.g. </w:t>
      </w:r>
      <w:r>
        <w:rPr>
          <w:rFonts w:ascii="Calibri" w:hAnsi="Calibri" w:eastAsia="Calibri" w:cs="Calibri"/>
          <w:i/>
          <w:iCs/>
          <w:color w:val="000000"/>
          <w:sz w:val="22"/>
          <w:szCs w:val="22"/>
        </w:rPr>
        <w:t xml:space="preserve">Pinus densiﬂora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There is an isolated record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not apparently associated with any damage, while infection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is based on greenhouse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Ehrharta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Pentameris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pringlei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pseudostrobus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teocote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torreyana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scorodonia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are obscure. Older records from various parts of the world may be based on inadequate identification. Outside America, records in Japan, South Africa and Spain are considered to result from introductions. Based on genetic diversity indices, the fungus is probably native in North America, most likely Mexico (Wikler &amp; Gordon, 2000), with further range expansion first in Eastern North America (Hepting and Roth, 1946) and then in the Western USA, specifically California (McCain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fungus has probably been moved around the world with pine planting stock, seedlings and especially infected seed. Until 2005, there have been no reliable records in the EPPO region. In Spain and Portugal, outbreaks were first detected in nurseries, and in France it has been found in conifer seeds imported from the USA. In Northern Spain and some areas of Portugal, where the pest is now established, it has been found both in nurseries and in forest stands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Pérez-Sierra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2019a). The outbreaks in Italy (Carlucci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France (EPPO, 2006) have now been officially eradicated.   Spanish populations are significantly differentiated and structured into two distinct groups suggesting two independent introductions (Berbegal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 distribution of pitch canker is largely confined to Mediterranean and sub-tropical climates, with some extension into temperate climates, suitability tends to decrease from the coastal areas to the centre of Europe, being most suitable or optimal in parts of Northern and Eastern Spain, Central and Northern Portugal and the coastal areas of France, Italy and Greece (Ganley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2010; Möykkynen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EPPO region, host availability is not a limiting factor for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however the pathogen is reported to stop its growth and sporulation as temperatures approach zero Celsius. For this reason, it is presumed that areas with Mediterranean and warm Oceanic climates may be more favourable to the pathogen than continental climates.</w:t>
      </w:r>
    </w:p>
    <w:p>
      <w:r>
        <w:drawing>
          <wp:inline distT="0" distB="0" distL="0" distR="0">
            <wp:extent cx="6120000" cy="3067200"/>
            <wp:docPr id="98274552" name="name6098662a295feff6e" descr="GIBB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CI_distribution_map.jpg"/>
                    <pic:cNvPicPr/>
                  </pic:nvPicPr>
                  <pic:blipFill>
                    <a:blip r:embed="rId9963662a295feff6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Ryukyu Archipelago),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Louisiana, Mississippi, North Carolina,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 </w:t>
      </w:r>
      <w:r>
        <w:rPr>
          <w:rFonts w:ascii="Calibri" w:hAnsi="Calibri" w:eastAsia="Calibri" w:cs="Calibri"/>
          <w:color w:val="000000"/>
          <w:sz w:val="22"/>
          <w:szCs w:val="22"/>
        </w:rPr>
        <w:t xml:space="preserve">is a pathogen which is seed-borne, airborne and also found on insects. It can infect vegetative and reproductive parts at all ages of the host. In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in California, the pathogen was found causing significant resin soaked cankers on the primary roots and root collars of planted adult trees (Garbelotto &amp; Schweigkofler, 2007). It can also infect pine seeds internally or be present as a superficial contaminant (Barrows-Broaddus &amp; Dwinell, 1985;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is not known how this infestation occurs. Seed-borne inoculum can infect and kill pine seedlings. Since perithecia have not been observed in nature, it is presumed that ascospores are not of great importance for infection of the host, however sexual reproduction may imply genetic recombination, which can lead to the emergence of strains with enhanced virulence. Most infection is by macroconidia and/or microconidia, carried by splashed rain, wind or insects. Bark-feeding insects (e.g. </w:t>
      </w:r>
      <w:r>
        <w:rPr>
          <w:rFonts w:ascii="Calibri" w:hAnsi="Calibri" w:eastAsia="Calibri" w:cs="Calibri"/>
          <w:i/>
          <w:iCs/>
          <w:color w:val="000000"/>
          <w:sz w:val="22"/>
          <w:szCs w:val="22"/>
        </w:rPr>
        <w:t xml:space="preserve">Pityophthorus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Conophthorus</w:t>
      </w:r>
      <w:r>
        <w:rPr>
          <w:rFonts w:ascii="Calibri" w:hAnsi="Calibri" w:eastAsia="Calibri" w:cs="Calibri"/>
          <w:color w:val="000000"/>
          <w:sz w:val="22"/>
          <w:szCs w:val="22"/>
        </w:rPr>
        <w:t xml:space="preserve"> sp.) commonly breed in affected branches and emerging adults commonly carry the pathogen although their vectoring potential is still undemonstrated, given that most papers prove phoresy and not vectoring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Nonetheless it has been suggested that these insects may increase infection by wounding their hosts (Sakamoto &amp; Gordon, 2005). Wound-associated infection is reported to be important, however a recent study demonstrated that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also able to colonize seedlings stem and tree branches that were artificially inoculated without wounds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mainly characterized by necrotrophic behaviour but also displays hemibiotrophic behaviour, being capable of living inside the host remaining symptomless in seedlings for more than a year and in the roots of mature trees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is required for an infection to occur, and infections appear to be associated with locations or seasons where atmospheric moisture is readily available and temperatures are relatively warm, such as in the South-Eastern USA during summer thunderstorms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California, the disease is most severe in close proximity to the coast. The distribution of the disease also suggests that cooler temperatures are restrictive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At moderate temperatures, the pathogen can survive for 1 year or more in infected wood, although new sporulation is greatly decreased or non-existent when trees are dead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highest density of the aerial inoculum in Northern California was found during the warm (15-20 °C), rainy months of the year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sporulation stops as minimum temperatures approach freezing.  It seems that the positive effect of temperature on spore germination is opposite to the effect on spore production in Galicia, Northern Spain (Dvorák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established infestations most new infections occur via microconidia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seedlings, the pathogen typically rots the hypocotyl at or near the soil-line, so that the seedling collapses. Seedlings may also show necrosis, chlorosis, wilting and dieback. Seedlings may also be infected by soil-borne inoculum. In either case, the symptoms are not particularly distinctive, differing little from those caused by other damping-off pathogens. Root infections are most often observed on seedlings in nurseries or Christmas tree farms, but can also occur on exposed roots of larger trees in landscape plantings. In Christmas tree farms, the pathogen may extensively colonize the root system, causing a brown discoloration and disintegration of the cortex. Above-ground symptoms are generally not apparent until the pathogen has reached the root crown and girdled the stem (Garbelotto &amp; Schweigkofler, 2007). This disease stage results in a uniform loss of colour in the foliage, which fades first to a dull green, then yellow and finally brown. Removal of the bark on the main stem near the soil-line may reveal resin-soaked tissue with a honey-brown to dark-brown discoloration (pitching).</w:t>
      </w:r>
    </w:p>
    <w:p>
      <w:pPr>
        <w:widowControl w:val="on"/>
        <w:pBdr/>
        <w:spacing w:before="220" w:after="220" w:line="240" w:lineRule="auto"/>
        <w:ind w:left="0" w:right="0"/>
        <w:jc w:val="both"/>
      </w:pPr>
      <w:r>
        <w:rPr>
          <w:rFonts w:ascii="Calibri" w:hAnsi="Calibri" w:eastAsia="Calibri" w:cs="Calibri"/>
          <w:color w:val="000000"/>
          <w:sz w:val="22"/>
          <w:szCs w:val="22"/>
        </w:rPr>
        <w:t xml:space="preserve">Branches and stems of pine trees of any age may also be infected. Infection usually begins as a canker and dieback of small branches in the top or middle part of the tree. Needles wilt above the infection site becoming chlorotic, then turn red and brown and resin accumulates on the branch surface. Repetition of these symptoms throughout the canopy may lead to extensive dieback. Branch infection always precedes trunk infection, however, the trunk and larger branches may in due course be infected, producing copious amounts of resin and accelerating the decline of the tree. Girdling of the main stem may lead to death of the tree. Death of infected trees can be hastened by bark beetle attacks. In California, a significant percentage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trees can recover, hence, the presence of canopies in clear remission among dead and dying canopies can also be taken as a stand-level trait associated with established outbreaks of itch Canker (Bonello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produces macro- and microconidia (Nirenberg &amp; O’Donnell, 1998). Macroconidia are typically 3-septate, with slightly curved walls, 32–48 × 3.3–3.8 µm, resembling those of numerous other anamorphs in the form-genus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Microconidia, typically single-celled, ovoid (or nearly oval or allantoid), are borne in false heads on aerial polyphialides. The proliferation of microconidiophores, coupled with a slight twisting of the aerial mycelium on which they are borne, gives a distinctive colony morphology. Aerial mycelium is white or slightly violet. Colonies are frequently sectored. These characters do not clearly separate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other fungi with anamorphs of the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group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sterile hyphae (coiled or not distinctively coiled) are characteristic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and are observed clearly on Spezieller-Nährstoffarmer Agar (SNA) medium. The epithet ‘circinatum’ refers to these typical coiled hyphae, also called ‘circinate’ hyphae (EFSA, 2010; EPPO 2019b). However recent studies show that coiled hyphae are not a fully reliable attribute for the diagnostic of the species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Perithecia are also readily produced in culture: dark purple to black, ovoid to obpyriform, 332–396–453 µm high and 288–337–358 µm wide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asci are cylindrical, 88–100 × 7.5–8.5 µm, released by oozing; ascospores, 1-septate, are 8 per ascus and ellipsoidal to fusiform shaped. This description is close to that of many related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some pathogens cause symptoms very similar to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laboratory analysis should always be carried out to identify and confirm its presence.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describe a suitable selective medium. The COST Action Field Guide of Pine Pitch Canker (2017) provides an overview of damage that is similar to the symptoms caused by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Sampling protocols for seeds, seedlings, twigs, branches, shoots, soil samples, spore traps and insects from different studies are collated and compiled by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morphological and molecular identification methods.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samples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(plant tissue or seeds), morphological and molecular methods are available also and described in detail in the IPPC Diagnostic Protocol (Annex 22) of ISPM 27 (FAO, 2017) and EPPO Diagnostic Protocol PM 7/91 (EPPO, 2019b). Molecular methods are the preferred methods for the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because of their sensitivity and accuracy. However,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highlighted that the use of protocols using conventional or real-time PCR outside their initial development and validation conditions should require careful characterization of the performance data prior to use under modified conditions.  </w:t>
      </w:r>
    </w:p>
    <w:p>
      <w:pPr>
        <w:widowControl w:val="on"/>
        <w:pBdr/>
        <w:spacing w:before="220" w:after="220" w:line="240" w:lineRule="auto"/>
        <w:ind w:left="0" w:right="0"/>
        <w:jc w:val="left"/>
      </w:pPr>
      <w:r>
        <w:rPr>
          <w:rFonts w:ascii="Calibri" w:hAnsi="Calibri" w:eastAsia="Calibri" w:cs="Calibri"/>
          <w:color w:val="000000"/>
          <w:sz w:val="22"/>
          <w:szCs w:val="22"/>
        </w:rPr>
        <w:t xml:space="preserve">A standard way of determining presence of the pathogen in an infested stand is that of performing tree bark spore washes followed by culturing on selective media: at that point identification can be done either by morphology or using molecular assays. Early detection based on symptoms is almost impossible in a forest stand, given the rarity of symptoms. Methods based on the trapping of spores on filter paper, followed by PCR-based detection performed directly on washes of the filter have proven to be among the most effective methods for early detection of the pathogen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method has been employed with success by many national phytosanitary agencies around the world.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spread locally by splashing water, wind and insects, but its rate of spread in newly infested areas does not appear to be very high.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a distance of 2 km/year as the potential of spread in California, based on spore detection. In general, the natural spread of the pathogen may be limited due to the short dispersal distances of the spores and possibly by the fairly short flight distances of disseminating insects (Zamora-Ballesteros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can be carried by consignments of pine seeds or pine cones, or by plants for planting. In California, the pathogen was established in San Diego County tens of kms away from any known natural infestations due to the planting of young Aleppo Trees in a parking lot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trees were about 10 years old when planted, and, at the time of planting, showed no obvious symptoms. The movement of infected Christmas trees has also been identified as significant pathway for the spread of the pathogen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long distance (California to New Zealand) movement of the pathogen was detected and eradicated in a lot of Douglas-fir seedlings, indicating that movement of non-pine live hosts could effectively move the pathogen long distances. Interestingly, the nursery of origin was, at the time of discovery, outside the official zone of infestation by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One significant pathway for the medium and medium-to-long range dispersal of the pathogen has been identified in the use of contaminated tools and equipment, in the movement of infected green waste and possibly in the use of contaminated pots and potting racks. Soil has also been shown to be infectious at least for short periods of time (Swett and Gordon, 2013; Camilli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principle, the pathogen could remain viable and be carried by infected wood, but this is most likely for particle wood made from small branches and their bark, in which spores of the fungus can survive. Round wood and sawn wood, especially if debarked, are less likely to carry the fungus. Additionally, in view of the substantial trade in pine wood, and the limited distribution of the fungus, the likelihood of a timber pathway of movement is low but not nil (EFSA, 2010;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Wood packaging material made of coniferous wood also presents a risk because the wood used for packaging is usually of lower quality in terms of physical imperfections and presence of bark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Long-range dispersal through the movement of soil is unlikely as the fungus cannot survive for long periods in the soil (Nirenberg and O’Donnell, 1998;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Numerous insect species that commonly occur in pine nurseries and forests throughout Europe and elsewhere have the potential to spread the fungus as either vectors, carriers or wounding agents. Most of the evidence is, however, circumstantial and ambiguous (Fernandez-Fernandez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 chronic problem in the South-Eastern USA, where it affects pine production in plantations, nurseries (Barnard &amp; Blakeslee, 1980) and seed orchards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does not have significant impacts on native forests. It regularly adds to the cost of production but does not result in large financial losses in most years. Most southern pines are affected to some extent, including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which typically sustains only minor damage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which can be more severely affected. Major epidemics were reported for this species in Florida in the 1970s, with an estimated loss of between 0,4 and 0,9 million cubic meters annually in the period from 1974 through 1979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in recent times, the use of less susceptible genotypes and changes in silvicultural techniques have greatly reduced the impact of the disease in the South 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also occurs throughout the coastal regions of California, from San Diego in the south, to Mendocino County north of San Francisco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was introduced into California in 1986, it has caused damage and mortality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urban areas and in native forests. Costs of tree removal and replacement may eventually amount to several million USD in severely affected areas (Templeton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also affected. In California, the disease has had a mild impact on all three native mainland stands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These represent the majority of the 5 native stands of this globally important pine species, hence this impact, even if limited, is of major concern. Pitch Canker has however had significant negative impacts on planted Monterey pines in urban settings, along roads, in golf courses and even in National Parks. It has also severely affected entire stands of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naturally regenerated after wildfires in Marin County (Swett and Gordon, 2013). Genetic diversity has been identified as an important aspect limiting damage by this pathogen (Aegerter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together with climatic (Garbelotto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ecological factors. The impact has also been significant in plant nurseries and Christmas tree farms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considered as one of the most important diseases of conifers globally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Since its introduction into South Africa,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caused serious problems in seedling nurseries (Viljoen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The appearance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plantations in Spain, South Africa, along with its presence in nurseries in Chile, substantially enhances this threat since these countries have large areas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both known to be very susceptible to the pathogen. In Europe, Spain has the largest area planted with this species (ca. 287 000 ha) which provides 25% of Spanish conifer timber. In Spain the disease is causing damage in forests and nurseries in five regions: Galicia, Asturias, Cantabria, País Vasco and Castilla y León. When dealing with native European species,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and Aleppo pine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have been reported to be more susceptible than Austrian pine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Italian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based on lab tests (Eneback &amp; Stanosz 2003, Itturixta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however in the Iberian peninsula where both the exotic P</w:t>
      </w:r>
      <w:r>
        <w:rPr>
          <w:rFonts w:ascii="Calibri" w:hAnsi="Calibri" w:eastAsia="Calibri" w:cs="Calibri"/>
          <w:i/>
          <w:iCs/>
          <w:color w:val="000000"/>
          <w:sz w:val="22"/>
          <w:szCs w:val="22"/>
        </w:rPr>
        <w:t xml:space="preserve">. radiata</w:t>
      </w:r>
      <w:r>
        <w:rPr>
          <w:rFonts w:ascii="Calibri" w:hAnsi="Calibri" w:eastAsia="Calibri" w:cs="Calibri"/>
          <w:color w:val="000000"/>
          <w:sz w:val="22"/>
          <w:szCs w:val="22"/>
        </w:rPr>
        <w:t xml:space="preserve"> and the native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have been exposed to the pathogen, damage is significant only on the exotic, while it is minor on the native one. In Japan, Pitch Canker has been reported from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(Muramoto and Dwinell 1990), while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appears to be less susceptible based on lab tests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problem is addressed by controlling the disease as far as possible in well managed seed nurseries, using less susceptible planting material, and preventing the spread of inoculum from infested areas by sanitary precautions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Chemical and biological control methods are ineffective or uneconomic, and have at present no particular role to play (except possibly seed treatment with fungicides). Nurseries and Christmas tree farms should be carefully sited. Clean, preferably local, seeds should be used. Wounding and over-fertilization should be avoided. In general, good hygiene should be maintained, and precautions taken for movement of equipment and soil. In plantations, infected material (logs, firewood) should not be moved: chipping or debarking may be used to reduce the risk that the pathogen may bespread by insects. Insecticide use to limit spread by insects is not environmentally appropriate nor was it effective when tried (Swett &amp; Gordon,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resistance and tolerance are key elements for the control of the disease, and resistant clones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available for replanting in areas of California affected by the disease (Aegerter 2003).  Likewise, very susceptible species should not be planted where risk of infection is high. -Large scale studies of American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(Hodge &amp; Dvorak, 2000) have shown considerable differences among species in susceptibility.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the close relatives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attenuata</w:t>
      </w:r>
      <w:r>
        <w:rPr>
          <w:rFonts w:ascii="Calibri" w:hAnsi="Calibri" w:eastAsia="Calibri" w:cs="Calibri"/>
          <w:color w:val="000000"/>
          <w:sz w:val="22"/>
          <w:szCs w:val="22"/>
        </w:rPr>
        <w:t xml:space="preserve"> are very susceptible, while pines of subsection Oocarpa were extremely resistant. Within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variation in susceptibility has been observed in California populations of both planted and naturally regenerated trees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2002), and similar variation is found among susceptible pine species from the southern USA: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(Dwinell &amp; Phelps, 1977)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(Kelley &amp; Williams, 1982; Kuhlman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Barrows-Broaddus &amp; Dwinell, 1984). Based on lab tests,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native to the Eastern USA are rather susceptible to the pathogen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Mexican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widely used in South Africa is extremely susceptible, but other pine species from Mexico and their hybrids with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are much less so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If individual valuable amenity trees are affected, pruning with appropriate hygienic precautions can restore the value of the tree. In the case of isolated infected trees in an otherwise pest-free area, it may be more appropriate to remove and destroy the tree. In general, in affected areas, it is preferable to use trees other than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less susceptible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amenity plantings. For example, in California, several exotic pine species that are suitable for a Mediterranean climate and less susceptible than the native species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1998a,b) have been (should be? could be?) used.</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shown its capacity to spread to new areas on pine seedlings (California, Mexico, South Africa, Chile, Spain, Portugal, Japan). It could readily be further spread by international movement of infected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seeds and seedlings. However, it could also be moved by international trade of non-pine seedlings as it has occurred for Douglas-fir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addition to pathogen sources outside the EPPO region, it should be clearly stated that the pathogen is also present within the EPPO region, and that these outbreaks represent a possible source for further movement of the pathogen within the EPPO region. The pathogen in fact was first reported in Asturias, Spai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it has subsequently become established in restricted areas of northern Spain and Portugal (Iturritxa et 2013,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 There have also been occurrences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France and Italy, now reportedly eradicated (EPPO, online). The areas to which it has spread have Mediterranean-type climates, so that, within the EPPO region, the Mediterranean area is clearly at risk since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widely planted there.  However, oceanic warm regions such as the entire West Coast of the Iberian Peninsula, of France and of the British Isles and Ireland may also be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Pitch pine canker probably presents most danger to forest nurseries. Damage to plantations or native forests seem more likely to arise in cool and humid regions of Europe or in Mediterranean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Quarantine regulations are crucial to minimize the risk of new introductions into disease-free countries. Seed lots should be tested using molecular methods already developed for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 cryptic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pine seedlings or herbaceous plants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could increase the risk of non-detection of infected material in pine nurseries which could lead to spread of the disease in the nursery and to forests and, consequently, increase the management costs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Breeding for resistance appears to be the best option for control in the field (Martin-Garcia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measures may be integrated for Pitch Canker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first reported outbreaks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2005 in Spain, specific emergency measures were adopted to prevent the introduction into and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within the EU. The emergency measures indicate that the Member States shall conduct annual surveys for the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These surveys should consist of visual examinations and if there is any suspicion of infection, the collection of samples and performance of tests. The emergency measures also enforce special requirements for the import and internal movement of some of the host plants and plant products of </w:t>
      </w:r>
      <w:r>
        <w:rPr>
          <w:rFonts w:ascii="Calibri" w:hAnsi="Calibri" w:eastAsia="Calibri" w:cs="Calibri"/>
          <w:i/>
          <w:iCs/>
          <w:color w:val="000000"/>
          <w:sz w:val="22"/>
          <w:szCs w:val="22"/>
        </w:rPr>
        <w:t xml:space="preserve">F.</w:t>
      </w:r>
      <w:r>
        <w:rPr>
          <w:rFonts w:ascii="Calibri" w:hAnsi="Calibri" w:eastAsia="Calibri" w:cs="Calibri"/>
          <w:i/>
          <w:iCs/>
          <w:color w:val="000000"/>
          <w:sz w:val="22"/>
          <w:szCs w:val="22"/>
        </w:rPr>
        <w:t xml:space="preserve"> circinatum</w:t>
      </w:r>
      <w:r>
        <w:rPr>
          <w:rFonts w:ascii="Calibri" w:hAnsi="Calibri" w:eastAsia="Calibri" w:cs="Calibri"/>
          <w:color w:val="000000"/>
          <w:sz w:val="22"/>
          <w:szCs w:val="22"/>
        </w:rPr>
        <w:t xml:space="preserve">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imported from countries where</w:t>
      </w:r>
      <w:r>
        <w:rPr>
          <w:rFonts w:ascii="Calibri" w:hAnsi="Calibri" w:eastAsia="Calibri" w:cs="Calibri"/>
          <w:i/>
          <w:iCs/>
          <w:color w:val="000000"/>
          <w:sz w:val="22"/>
          <w:szCs w:val="22"/>
        </w:rPr>
        <w:t xml:space="preserve"> F. circinatum</w:t>
      </w:r>
      <w:r>
        <w:rPr>
          <w:rFonts w:ascii="Calibri" w:hAnsi="Calibri" w:eastAsia="Calibri" w:cs="Calibri"/>
          <w:color w:val="000000"/>
          <w:sz w:val="22"/>
          <w:szCs w:val="22"/>
        </w:rPr>
        <w:t xml:space="preserve"> is present should be free from the pest. Seed-testing methods are presented by Anderson (1986),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ISTA (2020). There is a certain risk of introduction with soil but, in general, most EPPO countries prohibit the import of soil, and restrict the import of plants with soil (EPPO, 1994), from other continents. These measures should be effective against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Host plants for planting should be free from the pest. Seed and plants of other confirmed hosts from countries where the pest is present, in particular Douglas-fir should be screened as well, based on the precedent of an infected Douglas-fir seedling resulting in intercontinental movement of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experience in California, the discovery of infections in nurseries and/or in forest stands should trigger a whole suite of phytosanitary measures. In plant nurseries, the following should be implemented: soil exposed to inoculum should be pasteurized, growing containers should be sterilized, infected plants and plants within the same lot should be culled and autoclaved, raised planting beds and walkways should be disinfected. In forest stands, wood and foliage from cut trees should be burned or piled locally and not moved to different sites, while tools and equipment should be sterilized at the end of operations in each infected site. Approaches employed for sterilization, disinfection or sanitation of equipment/soil and destruction of infected plant material approaches may vary, as long as proven effective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&amp; Gordon TR (2006) Rates of pitch canker induced seedling mortality among Pinus radiata families varying in levels of genetic resistance to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235, 14-7.</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(2003) Pitch Canker: A technical review. UCANR Publications.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RL (1986) New method for assessing contamination of slash and loblolly pine seeds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 Plant Disease</w:t>
      </w:r>
      <w:r>
        <w:rPr>
          <w:rFonts w:ascii="Calibri" w:hAnsi="Calibri" w:eastAsia="Calibri" w:cs="Calibri"/>
          <w:color w:val="000000"/>
          <w:sz w:val="22"/>
          <w:szCs w:val="22"/>
        </w:rPr>
        <w:t xml:space="preserve"> 70, 452–453.</w:t>
      </w:r>
    </w:p>
    <w:p>
      <w:pPr>
        <w:widowControl w:val="on"/>
        <w:pBdr/>
        <w:spacing w:before="220" w:after="220" w:line="240" w:lineRule="auto"/>
        <w:ind w:left="0" w:right="0"/>
        <w:jc w:val="left"/>
      </w:pPr>
      <w:r>
        <w:rPr>
          <w:rFonts w:ascii="Calibri" w:hAnsi="Calibri" w:eastAsia="Calibri" w:cs="Calibri"/>
          <w:color w:val="000000"/>
          <w:sz w:val="22"/>
          <w:szCs w:val="22"/>
        </w:rPr>
        <w:t xml:space="preserve">Barnard EL &amp; Blakeslee GM (1980) Pitch canker of slash pine seedlings: a new disease in forest tree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64, 695–696.</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(1984) Variation in susceptibility to the pitch canker fungus among half-sib and full-sib families of Virginia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438–444.</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(1985) Branch dieback and cone and seed infection caused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w:t>
      </w:r>
      <w:r>
        <w:rPr>
          <w:rFonts w:ascii="Calibri" w:hAnsi="Calibri" w:eastAsia="Calibri" w:cs="Calibri"/>
          <w:color w:val="000000"/>
          <w:sz w:val="22"/>
          <w:szCs w:val="22"/>
        </w:rPr>
        <w:t xml:space="preserve"> in a loblolly pine seed orchard in South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75,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Berbegal M, Pérez-Sierra A, Armengol J &amp; Grünwald NJ (2013). Evidence for multiple introductions and clonality in Spanish populations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103(8), 851–861.</w:t>
      </w:r>
    </w:p>
    <w:p>
      <w:pPr>
        <w:widowControl w:val="on"/>
        <w:pBdr/>
        <w:spacing w:before="220" w:after="220" w:line="240" w:lineRule="auto"/>
        <w:ind w:left="0" w:right="0"/>
        <w:jc w:val="left"/>
      </w:pPr>
      <w:r>
        <w:rPr>
          <w:rFonts w:ascii="Calibri" w:hAnsi="Calibri" w:eastAsia="Calibri" w:cs="Calibri"/>
          <w:color w:val="000000"/>
          <w:sz w:val="22"/>
          <w:szCs w:val="22"/>
        </w:rPr>
        <w:t xml:space="preserve">Bonello P, Gordon TR &amp; Storer AJ (2001) Systemic induced resistance in Monterey pine.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31, 99-106. </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Diogo E, Moniz F &amp; Amaro P (2009) First report of pitch canker on pines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93, 1079</w:t>
      </w:r>
    </w:p>
    <w:p>
      <w:pPr>
        <w:widowControl w:val="on"/>
        <w:pBdr/>
        <w:spacing w:before="220" w:after="220" w:line="240" w:lineRule="auto"/>
        <w:ind w:left="0" w:right="0"/>
        <w:jc w:val="left"/>
      </w:pPr>
      <w:r>
        <w:rPr>
          <w:rFonts w:ascii="Calibri" w:hAnsi="Calibri" w:eastAsia="Calibri" w:cs="Calibri"/>
          <w:color w:val="000000"/>
          <w:sz w:val="22"/>
          <w:szCs w:val="22"/>
        </w:rPr>
        <w:t xml:space="preserve">Britz H, Coutinho TA, Wingﬁeld MJ &amp; Marasas WFO (2002) Validation of the description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and morphological differentiation of the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54, 9–22.</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Dick M, Ganley R, Roques A, Storer AJ (2016) Role of insect vectors in epidemiology and invasion risk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risk assessment of biological control of invasive </w:t>
      </w:r>
      <w:r>
        <w:rPr>
          <w:rFonts w:ascii="Calibri" w:hAnsi="Calibri" w:eastAsia="Calibri" w:cs="Calibri"/>
          <w:i/>
          <w:iCs/>
          <w:color w:val="000000"/>
          <w:sz w:val="22"/>
          <w:szCs w:val="22"/>
        </w:rPr>
        <w:t xml:space="preserve">Pinus contorta. Biological Invasions</w:t>
      </w:r>
      <w:r>
        <w:rPr>
          <w:rFonts w:ascii="Calibri" w:hAnsi="Calibri" w:eastAsia="Calibri" w:cs="Calibri"/>
          <w:color w:val="000000"/>
          <w:sz w:val="22"/>
          <w:szCs w:val="22"/>
        </w:rPr>
        <w:t xml:space="preserve"> 18, 1177-90.</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Diseases No. 753</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Camilli KS, Marshall J, Owen D, Gordon T &amp; Wood D (2013) Pitch Canker Disease in California. Sacramento: California Department of Forestry and Fire Protection. </w:t>
      </w:r>
      <w:r>
        <w:rPr>
          <w:rFonts w:ascii="Calibri" w:hAnsi="Calibri" w:eastAsia="Calibri" w:cs="Calibri"/>
          <w:i/>
          <w:iCs/>
          <w:color w:val="000000"/>
          <w:sz w:val="22"/>
          <w:szCs w:val="22"/>
        </w:rPr>
        <w:t xml:space="preserve">Tree Notes</w:t>
      </w:r>
      <w:r>
        <w:rPr>
          <w:rFonts w:ascii="Calibri" w:hAnsi="Calibri" w:eastAsia="Calibri" w:cs="Calibri"/>
          <w:color w:val="000000"/>
          <w:sz w:val="22"/>
          <w:szCs w:val="22"/>
        </w:rPr>
        <w:t xml:space="preserve"> 32</w:t>
      </w:r>
    </w:p>
    <w:p>
      <w:pPr>
        <w:widowControl w:val="on"/>
        <w:pBdr/>
        <w:spacing w:before="220" w:after="220" w:line="240" w:lineRule="auto"/>
        <w:ind w:left="0" w:right="0"/>
        <w:jc w:val="left"/>
      </w:pPr>
      <w:r>
        <w:rPr>
          <w:rFonts w:ascii="Calibri" w:hAnsi="Calibri" w:eastAsia="Calibri" w:cs="Calibri"/>
          <w:color w:val="000000"/>
          <w:sz w:val="22"/>
          <w:szCs w:val="22"/>
        </w:rPr>
        <w:t xml:space="preserve">Carlucci A, Colatruglio L &amp; Frisullo S (2007) First report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in Apulia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91(12), 1683.</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JW &amp; Gordon TR (2020). Infection of the Native California Grass,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Cause of Pitch Canker in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104, 194-197</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JC, Gordon TR, McCain AH, Fox JW, Koehler CS, Wood DL &amp; Schultz ME (1991) Pitch canker disease in California: pathogenicity, distribution, and canker development on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75, 676–682</w:t>
      </w:r>
    </w:p>
    <w:p>
      <w:pPr>
        <w:widowControl w:val="on"/>
        <w:pBdr/>
        <w:spacing w:before="220" w:after="220" w:line="240" w:lineRule="auto"/>
        <w:ind w:left="0" w:right="0"/>
        <w:jc w:val="left"/>
      </w:pPr>
      <w:r>
        <w:rPr>
          <w:rFonts w:ascii="Calibri" w:hAnsi="Calibri" w:eastAsia="Calibri" w:cs="Calibri"/>
          <w:color w:val="000000"/>
          <w:sz w:val="22"/>
          <w:szCs w:val="22"/>
        </w:rPr>
        <w:t xml:space="preserve">COST (European Cooperation in Science and Technology). Action FP1406 PINESTRENGTH (2017) Pine Pitch Canker Field Guide. Available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https://www.planthealthcentre.scot/sites/www.planthealthcentre.scot/files/inlinefiles/FieldGuidePitchCankerSept2017.pdf [Accessed: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COST Action FP1406 PINESTRENGTH (2017). Available online: http://www.pinestrength.eu/ (accessed on 10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Drenkhan R, Ganley B, Martín-García J, Vahalík P, Adamson K, Adamčíková K, Ahumada R, Blank 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Global Geographic Distribution and Host Range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11, 724</w:t>
      </w:r>
    </w:p>
    <w:p>
      <w:pPr>
        <w:widowControl w:val="on"/>
        <w:pBdr/>
        <w:spacing w:before="220" w:after="220" w:line="240" w:lineRule="auto"/>
        <w:ind w:left="0" w:right="0"/>
        <w:jc w:val="left"/>
      </w:pPr>
      <w:r>
        <w:rPr>
          <w:rFonts w:ascii="Calibri" w:hAnsi="Calibri" w:eastAsia="Calibri" w:cs="Calibri"/>
          <w:color w:val="000000"/>
          <w:sz w:val="22"/>
          <w:szCs w:val="22"/>
        </w:rPr>
        <w:t xml:space="preserve">Dvořák M, Janoš P, Botella L, Rotková G &amp; Zas, R (2017) Spore Dispersal Patterns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an Infested Monterey Pine Forest in North-Western Spain.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8, 432.</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Barrows-Braddus JB &amp; Kuhlman EG (1985) Pitch canker: a disease complex of southern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69, 270–276.</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Kuhlman EG &amp; Blakeslee GM (1981) Pitch canker of southern pines. In: </w:t>
      </w:r>
      <w:r>
        <w:rPr>
          <w:rFonts w:ascii="Calibri" w:hAnsi="Calibri" w:eastAsia="Calibri" w:cs="Calibri"/>
          <w:i/>
          <w:iCs/>
          <w:color w:val="000000"/>
          <w:sz w:val="22"/>
          <w:szCs w:val="22"/>
        </w:rPr>
        <w:t xml:space="preserve">Fusarium: Diseases, Biology, and Taxonomy</w:t>
      </w:r>
      <w:r>
        <w:rPr>
          <w:rFonts w:ascii="Calibri" w:hAnsi="Calibri" w:eastAsia="Calibri" w:cs="Calibri"/>
          <w:color w:val="000000"/>
          <w:sz w:val="22"/>
          <w:szCs w:val="22"/>
        </w:rPr>
        <w:t xml:space="preserve"> (Eds Nelson PE, Toussoun TA &amp; Cook RJ), p. 457. Pennsylvania State University Press, University Park (US).</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&amp; Phelps WR (1977) Pitch canker of slash pine in Florida.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75, 488–489.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Panel on Plant Health (PLH): Risk assessment of </w:t>
      </w:r>
      <w:r>
        <w:rPr>
          <w:rFonts w:ascii="Calibri" w:hAnsi="Calibri" w:eastAsia="Calibri" w:cs="Calibri"/>
          <w:i/>
          <w:iCs/>
          <w:color w:val="000000"/>
          <w:sz w:val="22"/>
          <w:szCs w:val="22"/>
        </w:rPr>
        <w:t xml:space="preserve">Gibberella circinata </w:t>
      </w:r>
      <w:r>
        <w:rPr>
          <w:rFonts w:ascii="Calibri" w:hAnsi="Calibri" w:eastAsia="Calibri" w:cs="Calibri"/>
          <w:color w:val="000000"/>
          <w:sz w:val="22"/>
          <w:szCs w:val="22"/>
        </w:rPr>
        <w:t xml:space="preserve">for the EU territory and identification and evaluation of risk management options (2010)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8(6), 1620.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Kinkar M, Vos S (2020) Pest survey card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EFSA supporting publication 2020:EN-1842.</w:t>
      </w:r>
    </w:p>
    <w:p>
      <w:pPr>
        <w:widowControl w:val="on"/>
        <w:pBdr/>
        <w:spacing w:before="220" w:after="220" w:line="240" w:lineRule="auto"/>
        <w:ind w:left="0" w:right="0"/>
        <w:jc w:val="left"/>
      </w:pPr>
      <w:r>
        <w:rPr>
          <w:rFonts w:ascii="Calibri" w:hAnsi="Calibri" w:eastAsia="Calibri" w:cs="Calibri"/>
          <w:color w:val="000000"/>
          <w:sz w:val="22"/>
          <w:szCs w:val="22"/>
        </w:rPr>
        <w:t xml:space="preserve">Elvira-Recuenco M, Iturritxa E &amp; Raposo R (2015) Impact of seed transmission on the infection and development of pitch canker disease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6, 3353–3368.</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Stanosz GR (2003) Responses of conifer species of the Great Lakes region of North America to inoculation with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33, 333-8.</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PM 3/54 Growing plants in growing medium prior to export. Bulletin OEPP/EPPO Bulletin 24,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(European and Mediterranean Plant Protection Organization) (2006) First Report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in France; EPPO Reporting Service; EPPO Global Database: Paris, France, p. 104.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Update of the Situation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EPPO Reporting Service; EPPO Global Database: Paris, France, p. 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Diagnostic Protocol PM 7/91 (2). EPPO Global Database. Available online https://www.eppo.int/RESOURCES/eppo_standards/pm7_diagnostics (accessed on 7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Fernández-Fernández M, Naves, P, Witzell J, Musolin DL, Selikhovkin AV, Paraschiv M, Chira D, Martínez-Álvarez P, Martín-García J, Muñoz-Adalia EJ, Altunisik A, Cocuzza GEM, Silvestro SD, Zamora C, Diez JJ (2019) Pine Pitch Canker and Insects: Relationships and Implications for Disease Spread in Europe.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10, 627.</w:t>
      </w:r>
    </w:p>
    <w:p>
      <w:pPr>
        <w:widowControl w:val="on"/>
        <w:pBdr/>
        <w:spacing w:before="220" w:after="220" w:line="240" w:lineRule="auto"/>
        <w:ind w:left="0" w:right="0"/>
        <w:jc w:val="left"/>
      </w:pPr>
      <w:r>
        <w:rPr>
          <w:rFonts w:ascii="Calibri" w:hAnsi="Calibri" w:eastAsia="Calibri" w:cs="Calibri"/>
          <w:color w:val="000000"/>
          <w:sz w:val="22"/>
          <w:szCs w:val="22"/>
        </w:rPr>
        <w:t xml:space="preserve">Ganley RJ, Watt M, Manning L &amp; Iturritxa E (2009) A global climatic risk assessment of pitch canker disease.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39, 2246–2256.</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Smith T &amp; Schweigkofler W (2008) Variation in rates of spore deposition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over a 12-month-period at two locations in Northern California.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98, 137–143.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Schweigkofler W, Shaw D (2007) First report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causal agent of pitch canker disease, from the roots of mature Aleppo pines in California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55.</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Okamoto D, Storer AJ &amp; Wood DL (1998a) Susceptibility of ﬁve landscape pines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Hortscience</w:t>
      </w:r>
      <w:r>
        <w:rPr>
          <w:rFonts w:ascii="Calibri" w:hAnsi="Calibri" w:eastAsia="Calibri" w:cs="Calibri"/>
          <w:color w:val="000000"/>
          <w:sz w:val="22"/>
          <w:szCs w:val="22"/>
        </w:rPr>
        <w:t xml:space="preserve"> 33, 868–871.</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Storer AJ &amp; Wood DL (2001) The pitch canker epidemics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85, 1128–1139.</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Wikler KR, Clark L, Okamoto D, Storer AJ &amp; Bonello P (1998b) Resistance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in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and Roth ER (1946) Pitch canker, a new disease of some southern pines.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44, 742–744.</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Aragonés A, Mesanza N, Berbegal M. Raposo R &amp; Elvira-Recuenco, M (2018a) Root infection of canker pathogens,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sapinea</w:t>
      </w:r>
      <w:r>
        <w:rPr>
          <w:rFonts w:ascii="Calibri" w:hAnsi="Calibri" w:eastAsia="Calibri" w:cs="Calibri"/>
          <w:color w:val="000000"/>
          <w:sz w:val="22"/>
          <w:szCs w:val="22"/>
        </w:rPr>
        <w:t xml:space="preserve">, in asymptomatic trees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9, 128.</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Elvira-Recuenco M, Berbegal M, Campos JA, Renobales G, García I &amp; Raposo R (2018b) Herbaceous plants in the understory of a pitch canker-affected Monterey pine plantation are endophytically infected with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32, 65–71.</w:t>
      </w:r>
    </w:p>
    <w:p>
      <w:pPr>
        <w:widowControl w:val="on"/>
        <w:pBdr/>
        <w:spacing w:before="220" w:after="220" w:line="240" w:lineRule="auto"/>
        <w:ind w:left="0" w:right="0"/>
        <w:jc w:val="left"/>
      </w:pPr>
      <w:r>
        <w:rPr>
          <w:rFonts w:ascii="Calibri" w:hAnsi="Calibri" w:eastAsia="Calibri" w:cs="Calibri"/>
          <w:color w:val="000000"/>
          <w:sz w:val="22"/>
          <w:szCs w:val="22"/>
        </w:rPr>
        <w:t xml:space="preserve">Hodge GR &amp; Dvorak WS (2000) Differential responses of Central American and Mexican pine species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to infection by the pitch canker fungus.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19, 241–258.</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Fourrier C, Iancu G and Gordon TR (2009) Sensitive detection of Fusarium circinatum in pine seed by combining an enrichment procedure with a real-time polymerase chain reaction using dual-labeled probe chemistry.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99,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Aloi F, Piskur B, Guinet C, Mullett M, Berbegal M, Bragança H, Cacciola SO, Oskay F, Cornejo C, Adamson K, Douanla-Meli C, Kačergius A, Martínez-Álvarez P, Nowakowska JA, Luchi N, Vettraino AM, Ahumada R, Pasquali M, Fourie G, Kanetis L, Alves A, Ghelardini L, Dvořák M, Sanz-Ros M, Diez JJ, Baskarathevan J &amp; Aguayo J (2019) Transferability of PCR-based diagnostic protocols: an international collaborative case study assessing protocols targeting the quarantine pine pathogen Fusarium circinatum. </w:t>
      </w:r>
      <w:r>
        <w:rPr>
          <w:rFonts w:ascii="Calibri" w:hAnsi="Calibri" w:eastAsia="Calibri" w:cs="Calibri"/>
          <w:i/>
          <w:iCs/>
          <w:color w:val="000000"/>
          <w:sz w:val="22"/>
          <w:szCs w:val="22"/>
        </w:rPr>
        <w:t xml:space="preserve">Scientific Reports </w:t>
      </w:r>
      <w:r>
        <w:rPr>
          <w:rFonts w:ascii="Calibri" w:hAnsi="Calibri" w:eastAsia="Calibri" w:cs="Calibri"/>
          <w:color w:val="000000"/>
          <w:sz w:val="22"/>
          <w:szCs w:val="22"/>
        </w:rPr>
        <w:t xml:space="preserve">9, 1–17.</w:t>
      </w:r>
    </w:p>
    <w:p>
      <w:pPr>
        <w:widowControl w:val="on"/>
        <w:pBdr/>
        <w:spacing w:before="220" w:after="220" w:line="240" w:lineRule="auto"/>
        <w:ind w:left="0" w:right="0"/>
        <w:jc w:val="left"/>
      </w:pPr>
      <w:r>
        <w:rPr>
          <w:rFonts w:ascii="Calibri" w:hAnsi="Calibri" w:eastAsia="Calibri" w:cs="Calibri"/>
          <w:color w:val="000000"/>
          <w:sz w:val="22"/>
          <w:szCs w:val="22"/>
        </w:rPr>
        <w:t xml:space="preserve">IPPC (International Plant Protection Convention) (2017) Diagnostic Protocol (Annex 22) of ISPM 27 (FAO,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ISTA (International Seed Testing Association) (2020). 7-009: Detección de Fusarium circinatum en semillas de Pinus spp. (pino) y Pseudotsuga menziesii. International rules for seed testing 7-009. Bassersdorf, Switzerland, ISTA.</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Ganley RJ, Raposo R, García‐Serna I, Mesanza N, Kirkpatrick SC, Gordon TR (2013) Resistance levels of Spanish conifers against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pinea</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43, 488-95.</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Mesanza N, Elvira-Recuenco M, Serrano Y, Quintana E &amp; Raposo R (2012) Evaluation of genetic resistance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to pitch canker in Spain. </w:t>
      </w:r>
      <w:r>
        <w:rPr>
          <w:rFonts w:ascii="Calibri" w:hAnsi="Calibri" w:eastAsia="Calibri" w:cs="Calibri"/>
          <w:i/>
          <w:iCs/>
          <w:color w:val="000000"/>
          <w:sz w:val="22"/>
          <w:szCs w:val="22"/>
        </w:rPr>
        <w:t xml:space="preserve">Australasian Plant Pathology </w:t>
      </w:r>
      <w:r>
        <w:rPr>
          <w:rFonts w:ascii="Calibri" w:hAnsi="Calibri" w:eastAsia="Calibri" w:cs="Calibri"/>
          <w:color w:val="000000"/>
          <w:sz w:val="22"/>
          <w:szCs w:val="22"/>
        </w:rPr>
        <w:t xml:space="preserve">41 601–607.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WD &amp; Williams JC (1982) Incidence of pitch canker among clones of loblolly pine in seed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66, 1171–1173.</w:t>
      </w:r>
    </w:p>
    <w:p>
      <w:pPr>
        <w:widowControl w:val="on"/>
        <w:pBdr/>
        <w:spacing w:before="220" w:after="220" w:line="240" w:lineRule="auto"/>
        <w:ind w:left="0" w:right="0"/>
        <w:jc w:val="left"/>
      </w:pPr>
      <w:r>
        <w:rPr>
          <w:rFonts w:ascii="Calibri" w:hAnsi="Calibri" w:eastAsia="Calibri" w:cs="Calibri"/>
          <w:color w:val="000000"/>
          <w:sz w:val="22"/>
          <w:szCs w:val="22"/>
        </w:rPr>
        <w:t xml:space="preserve">Kim YS, Woo KS, Koo YB, Yeo JK (2008) Variation in susceptibility of six pine species and hybrids to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38, 419-28.</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Wageningen,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Kuhlman EG, Dianis SD &amp; Smith TK (1982) Epidemiology of pitch canker disease in a loblolly pine seed orchard in North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72,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Landeras E, García P, Fernández Y, Braña M, Fernández-Alonso O, Méndez-Lodcs S, Pérez-Sierra A, León M, Abad-Campos P, Berbegal M, Beltrán R, García-Jiménez J &amp; Armengol J (2005) Outbreak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northern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89, 1015.</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Martín-García J, Zas R, Solla A, Woodward S, Hantula J, Vainio EJ, Mullett M, Morales-Rodríguez C., Vannini A, Martínez-Álvarez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Environmentally friendly methods for controlling pine pitch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 843–860.</w:t>
      </w:r>
    </w:p>
    <w:p>
      <w:pPr>
        <w:widowControl w:val="on"/>
        <w:pBdr/>
        <w:spacing w:before="220" w:after="220" w:line="240" w:lineRule="auto"/>
        <w:ind w:left="0" w:right="0"/>
        <w:jc w:val="left"/>
      </w:pPr>
      <w:r>
        <w:rPr>
          <w:rFonts w:ascii="Calibri" w:hAnsi="Calibri" w:eastAsia="Calibri" w:cs="Calibri"/>
          <w:color w:val="000000"/>
          <w:sz w:val="22"/>
          <w:szCs w:val="22"/>
        </w:rPr>
        <w:t xml:space="preserve">McCain A, Koehler C, Tjosvold S (1987) Pitch canker threatens California pines.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41, 22-3.</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Coutinho TA, Steenkamp E, Herbert M, Wingfield MJ (2012). Future outlook for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in South Africa in the presence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Southern Forests: A Journal of Forest Science</w:t>
      </w:r>
      <w:r>
        <w:rPr>
          <w:rFonts w:ascii="Calibri" w:hAnsi="Calibri" w:eastAsia="Calibri" w:cs="Calibri"/>
          <w:color w:val="000000"/>
          <w:sz w:val="22"/>
          <w:szCs w:val="22"/>
        </w:rPr>
        <w:t xml:space="preserve"> 74, 203-10.</w:t>
      </w:r>
    </w:p>
    <w:p>
      <w:pPr>
        <w:widowControl w:val="on"/>
        <w:pBdr/>
        <w:spacing w:before="220" w:after="220" w:line="240" w:lineRule="auto"/>
        <w:ind w:left="0" w:right="0"/>
        <w:jc w:val="left"/>
      </w:pPr>
      <w:r>
        <w:rPr>
          <w:rFonts w:ascii="Calibri" w:hAnsi="Calibri" w:eastAsia="Calibri" w:cs="Calibri"/>
          <w:color w:val="000000"/>
          <w:sz w:val="22"/>
          <w:szCs w:val="22"/>
        </w:rPr>
        <w:t xml:space="preserve">Möykkynen T, Capretti P and Pukkala T (2015) Modelling the potential spread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Europe. </w:t>
      </w:r>
      <w:r>
        <w:rPr>
          <w:rFonts w:ascii="Calibri" w:hAnsi="Calibri" w:eastAsia="Calibri" w:cs="Calibri"/>
          <w:i/>
          <w:iCs/>
          <w:color w:val="000000"/>
          <w:sz w:val="22"/>
          <w:szCs w:val="22"/>
        </w:rPr>
        <w:t xml:space="preserve">Annals of Forest Science </w:t>
      </w:r>
      <w:r>
        <w:rPr>
          <w:rFonts w:ascii="Calibri" w:hAnsi="Calibri" w:eastAsia="Calibri" w:cs="Calibri"/>
          <w:color w:val="000000"/>
          <w:sz w:val="22"/>
          <w:szCs w:val="22"/>
        </w:rPr>
        <w:t xml:space="preserve">72, 169–181.</w:t>
      </w:r>
    </w:p>
    <w:p>
      <w:pPr>
        <w:widowControl w:val="on"/>
        <w:pBdr/>
        <w:spacing w:before="220" w:after="220" w:line="240" w:lineRule="auto"/>
        <w:ind w:left="0" w:right="0"/>
        <w:jc w:val="left"/>
      </w:pPr>
      <w:r>
        <w:rPr>
          <w:rFonts w:ascii="Calibri" w:hAnsi="Calibri" w:eastAsia="Calibri" w:cs="Calibri"/>
          <w:color w:val="000000"/>
          <w:sz w:val="22"/>
          <w:szCs w:val="22"/>
        </w:rPr>
        <w:t xml:space="preserve">Muramoto H &amp; Dwinell LD (1990) Pitch canker of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Plant Disease </w:t>
      </w:r>
      <w:r>
        <w:rPr>
          <w:rFonts w:ascii="Calibri" w:hAnsi="Calibri" w:eastAsia="Calibri" w:cs="Calibri"/>
          <w:color w:val="000000"/>
          <w:sz w:val="22"/>
          <w:szCs w:val="22"/>
        </w:rPr>
        <w:t xml:space="preserve">7 4, 530. </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90, 434–458.</w:t>
      </w:r>
    </w:p>
    <w:p>
      <w:pPr>
        <w:widowControl w:val="on"/>
        <w:pBdr/>
        <w:spacing w:before="220" w:after="220" w:line="240" w:lineRule="auto"/>
        <w:ind w:left="0" w:right="0"/>
        <w:jc w:val="left"/>
      </w:pPr>
      <w:r>
        <w:rPr>
          <w:rFonts w:ascii="Calibri" w:hAnsi="Calibri" w:eastAsia="Calibri" w:cs="Calibri"/>
          <w:color w:val="000000"/>
          <w:sz w:val="22"/>
          <w:szCs w:val="22"/>
        </w:rPr>
        <w:t xml:space="preserve">Peréz-Sierra A, Landeras E, Leon M, Berbegal M, García-Jiménez J and Armengol J (2007)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in northern Spain.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Pfenning LH, da Silva Costa S, Pereira de Melo M, Costa H, Ventura JA, Auer CG &amp; dos Santos AF (2014) A First report and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39, 3.</w:t>
      </w:r>
    </w:p>
    <w:p>
      <w:pPr>
        <w:widowControl w:val="on"/>
        <w:pBdr/>
        <w:spacing w:before="220" w:after="220" w:line="240" w:lineRule="auto"/>
        <w:ind w:left="0" w:right="0"/>
        <w:jc w:val="left"/>
      </w:pPr>
      <w:r>
        <w:rPr>
          <w:rFonts w:ascii="Calibri" w:hAnsi="Calibri" w:eastAsia="Calibri" w:cs="Calibri"/>
          <w:color w:val="000000"/>
          <w:sz w:val="22"/>
          <w:szCs w:val="22"/>
        </w:rPr>
        <w:t xml:space="preserve">Sakamoto JM &amp; Gordon TR (2005). Factors influencing infection of mechanical wounds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Monterey pines (Pinus radiata).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55, 130–136.</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Y, Iturritxa E, Elvira-Recuenco M and Raposo R (2017) Survival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soil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 and branch segments.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66, 934–940.</w:t>
      </w:r>
    </w:p>
    <w:p>
      <w:pPr>
        <w:widowControl w:val="on"/>
        <w:pBdr/>
        <w:spacing w:before="220" w:after="220" w:line="240" w:lineRule="auto"/>
        <w:ind w:left="0" w:right="0"/>
        <w:jc w:val="left"/>
      </w:pPr>
      <w:r>
        <w:rPr>
          <w:rFonts w:ascii="Calibri" w:hAnsi="Calibri" w:eastAsia="Calibri" w:cs="Calibri"/>
          <w:color w:val="000000"/>
          <w:sz w:val="22"/>
          <w:szCs w:val="22"/>
        </w:rPr>
        <w:t xml:space="preserve">Steenkamp ET, Rodas CA, Kvas M &amp; Wingfield MJ (2012)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pitch canker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in Colombia. </w:t>
      </w:r>
      <w:r>
        <w:rPr>
          <w:rFonts w:ascii="Calibri" w:hAnsi="Calibri" w:eastAsia="Calibri" w:cs="Calibri"/>
          <w:i/>
          <w:iCs/>
          <w:color w:val="000000"/>
          <w:sz w:val="22"/>
          <w:szCs w:val="22"/>
        </w:rPr>
        <w:t xml:space="preserve">Australasian Plant Patholology</w:t>
      </w:r>
      <w:r>
        <w:rPr>
          <w:rFonts w:ascii="Calibri" w:hAnsi="Calibri" w:eastAsia="Calibri" w:cs="Calibri"/>
          <w:color w:val="000000"/>
          <w:sz w:val="22"/>
          <w:szCs w:val="22"/>
        </w:rPr>
        <w:t xml:space="preserve"> 41,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Bonello P, Gordon TR &amp; Wood DL (1999) Evidence of resistance to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native stands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45, 500–505.</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Gordon TR &amp; Clark L (1998) Association of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with Monterey pine seeds and seedlings in California.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649–656.</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Wood DL &amp; Gordon TR (2002) The epidemiology of pitch canker of Monterey pine in California.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48, 694–700.Schweigkofler W, O'Donnell K, Garbelotto M (2004). Detection and quantification of airborne conidia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from two California sites by using a real-time PCR approach combined with a simple spore trapping method</w:t>
      </w:r>
      <w:r>
        <w:rPr>
          <w:rFonts w:ascii="Calibri" w:hAnsi="Calibri" w:eastAsia="Calibri" w:cs="Calibri"/>
          <w:i/>
          <w:iCs/>
          <w:color w:val="000000"/>
          <w:sz w:val="22"/>
          <w:szCs w:val="22"/>
        </w:rPr>
        <w:t xml:space="preserve">. Applied and Environmental Microbiology</w:t>
      </w:r>
      <w:r>
        <w:rPr>
          <w:rFonts w:ascii="Calibri" w:hAnsi="Calibri" w:eastAsia="Calibri" w:cs="Calibri"/>
          <w:color w:val="000000"/>
          <w:sz w:val="22"/>
          <w:szCs w:val="22"/>
        </w:rPr>
        <w:t xml:space="preserve">, 70, 3512-20.</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(2012) First report of grass species (Poaceae) as naturally occurring hosts of the pine pathogen </w:t>
      </w:r>
      <w:r>
        <w:rPr>
          <w:rFonts w:ascii="Calibri" w:hAnsi="Calibri" w:eastAsia="Calibri" w:cs="Calibri"/>
          <w:i/>
          <w:iCs/>
          <w:color w:val="000000"/>
          <w:sz w:val="22"/>
          <w:szCs w:val="22"/>
        </w:rPr>
        <w:t xml:space="preserve">Gibberella circinata. Plant Disease</w:t>
      </w:r>
      <w:r>
        <w:rPr>
          <w:rFonts w:ascii="Calibri" w:hAnsi="Calibri" w:eastAsia="Calibri" w:cs="Calibri"/>
          <w:color w:val="000000"/>
          <w:sz w:val="22"/>
          <w:szCs w:val="22"/>
        </w:rPr>
        <w:t xml:space="preserve"> 96, 908.</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(2013) Pest Notes: Pitch Canker, UC ANR Publication 74107  </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Kirkpatrick SC and Gordon TR (2016) Evidence for a Hemibiotrophic Association of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,100, 79–84.</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Reynolds GJ and Gordon TR (2018) Infection without wounding and symptomless shoot colonization of Pinus radiata by Fusarium circinatum, the cause of pitch canker</w:t>
      </w:r>
      <w:r>
        <w:rPr>
          <w:rFonts w:ascii="Calibri" w:hAnsi="Calibri" w:eastAsia="Calibri" w:cs="Calibri"/>
          <w:i/>
          <w:iCs/>
          <w:color w:val="000000"/>
          <w:sz w:val="22"/>
          <w:szCs w:val="22"/>
        </w:rPr>
        <w:t xml:space="preserve">. Forest Pathology</w:t>
      </w:r>
      <w:r>
        <w:rPr>
          <w:rFonts w:ascii="Calibri" w:hAnsi="Calibri" w:eastAsia="Calibri" w:cs="Calibri"/>
          <w:color w:val="000000"/>
          <w:sz w:val="22"/>
          <w:szCs w:val="22"/>
        </w:rPr>
        <w:t xml:space="preserve"> 48, e12422.</w:t>
      </w:r>
    </w:p>
    <w:p>
      <w:pPr>
        <w:widowControl w:val="on"/>
        <w:pBdr/>
        <w:spacing w:before="220" w:after="220" w:line="240" w:lineRule="auto"/>
        <w:ind w:left="0" w:right="0"/>
        <w:jc w:val="left"/>
      </w:pPr>
      <w:r>
        <w:rPr>
          <w:rFonts w:ascii="Calibri" w:hAnsi="Calibri" w:eastAsia="Calibri" w:cs="Calibri"/>
          <w:color w:val="000000"/>
          <w:sz w:val="22"/>
          <w:szCs w:val="22"/>
        </w:rPr>
        <w:t xml:space="preserve">Templeton SR, Wood DL, Storer AJ &amp; Gordon TR (1997) Economic damages of pitch canker.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25, 10–14.</w:t>
      </w:r>
    </w:p>
    <w:p>
      <w:pPr>
        <w:widowControl w:val="on"/>
        <w:pBdr/>
        <w:spacing w:before="220" w:after="220" w:line="240" w:lineRule="auto"/>
        <w:ind w:left="0" w:right="0"/>
        <w:jc w:val="left"/>
      </w:pPr>
      <w:r>
        <w:rPr>
          <w:rFonts w:ascii="Calibri" w:hAnsi="Calibri" w:eastAsia="Calibri" w:cs="Calibri"/>
          <w:color w:val="000000"/>
          <w:sz w:val="22"/>
          <w:szCs w:val="22"/>
        </w:rPr>
        <w:t xml:space="preserve">Vainio EJ, Bezos D, Bragança H, Cleary M, Fourie G, Ghelardini MGL, Hannunen S, Ioos R, Martín-García J, Martínez-Álvarez P, Mullett M, Oszako T, Papazova-Anakieva I, Piškur B, Romeralo C, Sanz-Ros AV, Steenkamp ET (2019) Sampling and Detection Strategies for the Pine Pitch Canker (PPC) Disease Pathogen Fusarium circinatum in Europe.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10, 723.</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Potting R &amp; Raposo R (2018) EU legislation on forest plant health: An overview with a focus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9, 568.</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Kemp GHJ &amp; Marasas WFO (1995) Susceptibility of pines in South Africa to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Plant Pathology</w:t>
      </w:r>
      <w:r>
        <w:rPr>
          <w:rFonts w:ascii="Calibri" w:hAnsi="Calibri" w:eastAsia="Calibri" w:cs="Calibri"/>
          <w:color w:val="000000"/>
          <w:sz w:val="22"/>
          <w:szCs w:val="22"/>
        </w:rPr>
        <w:t xml:space="preserve"> 44, 877–882.</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&amp; Marasas WFO (1994) First report of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on pine seedlings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78, 309–312.</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Gordon TR, Aegerter BJ, Kirkpatrick SC, Lunak GA, Stover P, Violett P (2004)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the Sierra Nevada of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88, 772.</w:t>
      </w:r>
    </w:p>
    <w:p>
      <w:pPr>
        <w:widowControl w:val="on"/>
        <w:pBdr/>
        <w:spacing w:before="220" w:after="220" w:line="240" w:lineRule="auto"/>
        <w:ind w:left="0" w:right="0"/>
        <w:jc w:val="left"/>
      </w:pPr>
      <w:r>
        <w:rPr>
          <w:rFonts w:ascii="Calibri" w:hAnsi="Calibri" w:eastAsia="Calibri" w:cs="Calibri"/>
          <w:color w:val="000000"/>
          <w:sz w:val="22"/>
          <w:szCs w:val="22"/>
        </w:rPr>
        <w:t xml:space="preserve">Wikler K &amp; Gordon TR (2000) An initial assessment of genetic relationships among populations of Fusarium circinatum in different parts of the world.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78</w:t>
      </w:r>
      <w:r>
        <w:rPr>
          <w:rFonts w:ascii="Calibri" w:hAnsi="Calibri" w:eastAsia="Calibri" w:cs="Calibri"/>
          <w:color w:val="000000"/>
          <w:sz w:val="22"/>
          <w:szCs w:val="22"/>
        </w:rPr>
        <w:t xml:space="preserve">(6)709-717.</w:t>
      </w:r>
    </w:p>
    <w:p>
      <w:pPr>
        <w:widowControl w:val="on"/>
        <w:pBdr/>
        <w:spacing w:before="220" w:after="220" w:line="240" w:lineRule="auto"/>
        <w:ind w:left="0" w:right="0"/>
        <w:jc w:val="left"/>
      </w:pPr>
      <w:r>
        <w:rPr>
          <w:rFonts w:ascii="Calibri" w:hAnsi="Calibri" w:eastAsia="Calibri" w:cs="Calibri"/>
          <w:color w:val="000000"/>
          <w:sz w:val="22"/>
          <w:szCs w:val="22"/>
        </w:rPr>
        <w:t xml:space="preserve">Wingﬁeld MJ, Jacobs A, Coutinho TA, Ahumada R &amp; Wingﬁeld BD (2002)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pines in Chile.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Vol. 4 August 2001 – January 2002. </w:t>
      </w:r>
      <w:hyperlink r:id="rId9660662a295ff3b4d" w:history="1">
        <w:r>
          <w:rPr>
            <w:rFonts w:ascii="Calibri" w:hAnsi="Calibri" w:eastAsia="Calibri" w:cs="Calibri"/>
            <w:color w:val="0000CC"/>
            <w:sz w:val="22"/>
            <w:szCs w:val="22"/>
            <w:u w:val="single"/>
          </w:rPr>
          <w:t xml:space="preserve">http://www.bspp.org.uk/ndr/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Hammerbacher A, Ganley RJ, Steenkamp ET, Gordon TR, Wingfield BD, Coutinho TA.(2008) Pitch canker caused by Fusarium circinatum—A growing threat to pine plantations and forests worldwide. Australas.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37, 319–334.</w:t>
      </w:r>
    </w:p>
    <w:p>
      <w:pPr>
        <w:widowControl w:val="on"/>
        <w:pBdr/>
        <w:spacing w:before="220" w:after="220" w:line="240" w:lineRule="auto"/>
        <w:ind w:left="0" w:right="0"/>
        <w:jc w:val="left"/>
      </w:pPr>
      <w:r>
        <w:rPr>
          <w:rFonts w:ascii="Calibri" w:hAnsi="Calibri" w:eastAsia="Calibri" w:cs="Calibri"/>
          <w:color w:val="000000"/>
          <w:sz w:val="22"/>
          <w:szCs w:val="22"/>
        </w:rPr>
        <w:t xml:space="preserve">Zamora-Ballesteros C, Diez JJ, Martín-García J, Witzell J, Solla A, Ahumada R, Capretti P, Cleary M, Drenkhan R, Dvořák M, Elvira-Recuenco M, Fernández-Fernández M, Ghelardini L, Gonthier P, Hernández-Escribano L, Ioos R, Markovskaja S, Martínez-Álvarez P, Muñoz-Adalia EJ, Nowakowska JA, Oszako T, Raposo R, Santini A and Hantula J, 2019. Pine Pitch Canker (PPC): Pathways of Pathogen Spread and Preventive Measures.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1158.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Matteo Garbelotto (University of California – Berkeley, USA) and Margarita Elvira-Recuenco (Forest Research Centre of the National Institute for Agricultural and Food Research and Technology INIA,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EPPO datasheets on pests recommended for regulation. Available online. </w:t>
      </w:r>
      <w:hyperlink r:id="rId7999662a295ff3cc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383–386. </w:t>
      </w:r>
      <w:hyperlink r:id="rId1035662a295ff3dac" w:history="1">
        <w:r>
          <w:rPr>
            <w:rFonts w:ascii="Calibri" w:hAnsi="Calibri" w:eastAsia="Calibri" w:cs="Calibri"/>
            <w:color w:val="0000CC"/>
            <w:sz w:val="22"/>
            <w:szCs w:val="22"/>
            <w:u w:val="single"/>
          </w:rPr>
          <w:t xml:space="preserve">https://doi.org/10.1111/j.1365-2338.2005.00905.x</w:t>
        </w:r>
      </w:hyperlink>
      <w:r>
        <w:rPr>
          <w:rFonts w:ascii="Calibri" w:hAnsi="Calibri" w:eastAsia="Calibri" w:cs="Calibri"/>
          <w:color w:val="000000"/>
          <w:sz w:val="22"/>
          <w:szCs w:val="22"/>
        </w:rPr>
        <w:t xml:space="preserve"> </w:t>
      </w:r>
    </w:p>
    <w:p>
      <w:r>
        <w:drawing>
          <wp:inline distT="0" distB="0" distL="0" distR="0">
            <wp:extent cx="1800000" cy="604800"/>
            <wp:docPr id="28472498" name="name7188662a295ff3fd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20662a295ff3fd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03362">
    <w:multiLevelType w:val="hybridMultilevel"/>
    <w:lvl w:ilvl="0" w:tplc="50597921">
      <w:start w:val="1"/>
      <w:numFmt w:val="decimal"/>
      <w:lvlText w:val="%1."/>
      <w:lvlJc w:val="left"/>
      <w:pPr>
        <w:ind w:left="720" w:hanging="360"/>
      </w:pPr>
    </w:lvl>
    <w:lvl w:ilvl="1" w:tplc="50597921" w:tentative="1">
      <w:start w:val="1"/>
      <w:numFmt w:val="lowerLetter"/>
      <w:lvlText w:val="%2."/>
      <w:lvlJc w:val="left"/>
      <w:pPr>
        <w:ind w:left="1440" w:hanging="360"/>
      </w:pPr>
    </w:lvl>
    <w:lvl w:ilvl="2" w:tplc="50597921" w:tentative="1">
      <w:start w:val="1"/>
      <w:numFmt w:val="lowerRoman"/>
      <w:lvlText w:val="%3."/>
      <w:lvlJc w:val="right"/>
      <w:pPr>
        <w:ind w:left="2160" w:hanging="180"/>
      </w:pPr>
    </w:lvl>
    <w:lvl w:ilvl="3" w:tplc="50597921" w:tentative="1">
      <w:start w:val="1"/>
      <w:numFmt w:val="decimal"/>
      <w:lvlText w:val="%4."/>
      <w:lvlJc w:val="left"/>
      <w:pPr>
        <w:ind w:left="2880" w:hanging="360"/>
      </w:pPr>
    </w:lvl>
    <w:lvl w:ilvl="4" w:tplc="50597921" w:tentative="1">
      <w:start w:val="1"/>
      <w:numFmt w:val="lowerLetter"/>
      <w:lvlText w:val="%5."/>
      <w:lvlJc w:val="left"/>
      <w:pPr>
        <w:ind w:left="3600" w:hanging="360"/>
      </w:pPr>
    </w:lvl>
    <w:lvl w:ilvl="5" w:tplc="50597921" w:tentative="1">
      <w:start w:val="1"/>
      <w:numFmt w:val="lowerRoman"/>
      <w:lvlText w:val="%6."/>
      <w:lvlJc w:val="right"/>
      <w:pPr>
        <w:ind w:left="4320" w:hanging="180"/>
      </w:pPr>
    </w:lvl>
    <w:lvl w:ilvl="6" w:tplc="50597921" w:tentative="1">
      <w:start w:val="1"/>
      <w:numFmt w:val="decimal"/>
      <w:lvlText w:val="%7."/>
      <w:lvlJc w:val="left"/>
      <w:pPr>
        <w:ind w:left="5040" w:hanging="360"/>
      </w:pPr>
    </w:lvl>
    <w:lvl w:ilvl="7" w:tplc="50597921" w:tentative="1">
      <w:start w:val="1"/>
      <w:numFmt w:val="lowerLetter"/>
      <w:lvlText w:val="%8."/>
      <w:lvlJc w:val="left"/>
      <w:pPr>
        <w:ind w:left="5760" w:hanging="360"/>
      </w:pPr>
    </w:lvl>
    <w:lvl w:ilvl="8" w:tplc="50597921" w:tentative="1">
      <w:start w:val="1"/>
      <w:numFmt w:val="lowerRoman"/>
      <w:lvlText w:val="%9."/>
      <w:lvlJc w:val="right"/>
      <w:pPr>
        <w:ind w:left="6480" w:hanging="180"/>
      </w:pPr>
    </w:lvl>
  </w:abstractNum>
  <w:abstractNum w:abstractNumId="25603361">
    <w:multiLevelType w:val="hybridMultilevel"/>
    <w:lvl w:ilvl="0" w:tplc="73836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03361">
    <w:abstractNumId w:val="25603361"/>
  </w:num>
  <w:num w:numId="25603362">
    <w:abstractNumId w:val="256033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6714031" Type="http://schemas.microsoft.com/office/2011/relationships/commentsExtended" Target="commentsExtended.xml"/><Relationship Id="rId555353920" Type="http://schemas.microsoft.com/office/2011/relationships/people" Target="people.xml"/><Relationship Id="rId8780662a295fee397" Type="http://schemas.openxmlformats.org/officeDocument/2006/relationships/hyperlink" Target="https://gd.eppo.int/taxon/GIBBCI/" TargetMode="External"/><Relationship Id="rId2340662a295fee423" Type="http://schemas.openxmlformats.org/officeDocument/2006/relationships/hyperlink" Target="https://gd.eppo.int/taxon/GIBBCI/categorization" TargetMode="External"/><Relationship Id="rId9474662a295fee8d7" Type="http://schemas.openxmlformats.org/officeDocument/2006/relationships/hyperlink" Target="https://gd.eppo.int/taxon/GIBBCI/photos" TargetMode="External"/><Relationship Id="rId9660662a295ff3b4d" Type="http://schemas.openxmlformats.org/officeDocument/2006/relationships/hyperlink" Target="http://www.bspp.org.uk/ndr/" TargetMode="External"/><Relationship Id="rId7999662a295ff3cc2" Type="http://schemas.openxmlformats.org/officeDocument/2006/relationships/hyperlink" Target="https://gd.eppo.int" TargetMode="External"/><Relationship Id="rId1035662a295ff3dac" Type="http://schemas.openxmlformats.org/officeDocument/2006/relationships/hyperlink" Target="https://doi.org/10.1111/j.1365-2338.2005.00905.x" TargetMode="External"/><Relationship Id="rId9871662a295fee7a9" Type="http://schemas.openxmlformats.org/officeDocument/2006/relationships/image" Target="media/imgrId9871662a295fee7a9.jpg"/><Relationship Id="rId9963662a295feff6b" Type="http://schemas.openxmlformats.org/officeDocument/2006/relationships/image" Target="media/imgrId9963662a295feff6b.jpg"/><Relationship Id="rId1720662a295ff3fd4" Type="http://schemas.openxmlformats.org/officeDocument/2006/relationships/image" Target="media/imgrId1720662a295ff3fd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