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Geosmithia morbida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220" w:after="220" w:line="240" w:lineRule="auto"/>
        <w:ind w:left="0" w:right="0"/>
        <w:jc w:val="left"/>
      </w:pPr>
      <w:r>
        <w:rPr>
          <w:rFonts w:ascii="Calibri" w:hAnsi="Calibri" w:eastAsia="Calibri" w:cs="Calibri"/>
          <w:color w:val="000000"/>
          <w:sz w:val="22"/>
          <w:szCs w:val="22"/>
        </w:rPr>
        <w:br/>
        <w:t xml:space="preserve">The fungus </w:t>
      </w:r>
      <w:r>
        <w:rPr>
          <w:rFonts w:ascii="Calibri" w:hAnsi="Calibri" w:eastAsia="Calibri" w:cs="Calibri"/>
          <w:b/>
          <w:bCs/>
          <w:i/>
          <w:iCs/>
          <w:color w:val="000000"/>
          <w:sz w:val="22"/>
          <w:szCs w:val="22"/>
        </w:rPr>
        <w:t xml:space="preserve">Geosmithia morbida</w:t>
      </w:r>
      <w:r>
        <w:rPr>
          <w:rFonts w:ascii="Calibri" w:hAnsi="Calibri" w:eastAsia="Calibri" w:cs="Calibri"/>
          <w:color w:val="000000"/>
          <w:sz w:val="22"/>
          <w:szCs w:val="22"/>
        </w:rPr>
        <w:t xml:space="preserve"> and its insect vector</w:t>
      </w:r>
      <w:r>
        <w:rPr>
          <w:rFonts w:ascii="Calibri" w:hAnsi="Calibri" w:eastAsia="Calibri" w:cs="Calibri"/>
          <w:i/>
          <w:iCs/>
          <w:color w:val="000000"/>
          <w:sz w:val="22"/>
          <w:szCs w:val="22"/>
        </w:rPr>
        <w:t xml:space="preserve"> </w:t>
      </w:r>
      <w:hyperlink r:id="rId68716917cb6a8446f" w:history="1">
        <w:r>
          <w:rPr>
            <w:rFonts w:ascii="Calibri" w:hAnsi="Calibri" w:eastAsia="Calibri" w:cs="Calibri"/>
            <w:b/>
            <w:bCs/>
            <w:i/>
            <w:iCs/>
            <w:color w:val="0000CC"/>
            <w:sz w:val="22"/>
            <w:szCs w:val="22"/>
            <w:u w:val="single"/>
          </w:rPr>
          <w:t xml:space="preserve">Pityophthorus juglandis</w:t>
        </w:r>
      </w:hyperlink>
      <w:r>
        <w:rPr>
          <w:rFonts w:ascii="Calibri" w:hAnsi="Calibri" w:eastAsia="Calibri" w:cs="Calibri"/>
          <w:color w:val="000000"/>
          <w:sz w:val="22"/>
          <w:szCs w:val="22"/>
        </w:rPr>
        <w:t xml:space="preserve"> 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Geosmithia morbida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Kolarík, Freeland, Utley &amp; Tisserat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Bionectriaceae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thousand cankers disease</w:t>
            </w:r>
            <w:hyperlink r:id="rId19656917cb6a846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27856917cb6a846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GEOHMO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213440" name="name76216917cb6a84dd5" descr="1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5.jpg"/>
                          <pic:cNvPicPr/>
                        </pic:nvPicPr>
                        <pic:blipFill>
                          <a:blip r:embed="rId13606917cb6a84dd3" cstate="print"/>
                          <a:stretch>
                            <a:fillRect/>
                          </a:stretch>
                        </pic:blipFill>
                        <pic:spPr>
                          <a:xfrm>
                            <a:off x="0" y="0"/>
                            <a:ext cx="2160000" cy="1281600"/>
                          </a:xfrm>
                          <a:prstGeom prst="rect">
                            <a:avLst/>
                          </a:prstGeom>
                          <a:ln w="0">
                            <a:noFill/>
                          </a:ln>
                        </pic:spPr>
                      </pic:pic>
                    </a:graphicData>
                  </a:graphic>
                </wp:inline>
              </w:drawing>
            </w:r>
            <w:hyperlink r:id="rId46796917cb6a84e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described by Kolarík, Freeland, Utley &amp; Tisserat in 2011 (Kolarík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classification was modified in 2020 (EFSA, 2020), the previous classification included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Trichocomaceae </w:t>
      </w:r>
      <w:r>
        <w:rPr>
          <w:rFonts w:ascii="Calibri" w:hAnsi="Calibri" w:eastAsia="Calibri" w:cs="Calibri"/>
          <w:color w:val="000000"/>
          <w:sz w:val="22"/>
          <w:szCs w:val="22"/>
        </w:rPr>
        <w:t xml:space="preserve">family (Ascomycota, Eurotiomycetes; Eurotiales).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pest risk analysis (EPPO, 2015) gives a comprehensive overview of the host plants. The host plants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belong to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(Juglandaceae). Although they belong to the same family, the species </w:t>
      </w:r>
      <w:r>
        <w:rPr>
          <w:rFonts w:ascii="Calibri" w:hAnsi="Calibri" w:eastAsia="Calibri" w:cs="Calibri"/>
          <w:i/>
          <w:iCs/>
          <w:color w:val="000000"/>
          <w:sz w:val="22"/>
          <w:szCs w:val="22"/>
        </w:rPr>
        <w:t xml:space="preserve">Carya illinoinensis, C. aquatica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ovata</w:t>
      </w:r>
      <w:r>
        <w:rPr>
          <w:rFonts w:ascii="Calibri" w:hAnsi="Calibri" w:eastAsia="Calibri" w:cs="Calibri"/>
          <w:color w:val="000000"/>
          <w:sz w:val="22"/>
          <w:szCs w:val="22"/>
        </w:rPr>
        <w:t xml:space="preserve"> were found to be immune to the fungus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date,</w:t>
      </w:r>
      <w:r>
        <w:rPr>
          <w:rFonts w:ascii="Calibri" w:hAnsi="Calibri" w:eastAsia="Calibri" w:cs="Calibri"/>
          <w:i/>
          <w:iCs/>
          <w:color w:val="000000"/>
          <w:sz w:val="22"/>
          <w:szCs w:val="22"/>
        </w:rPr>
        <w:t xml:space="preserve"> Juglans nigra </w:t>
      </w:r>
      <w:r>
        <w:rPr>
          <w:rFonts w:ascii="Calibri" w:hAnsi="Calibri" w:eastAsia="Calibri" w:cs="Calibri"/>
          <w:color w:val="000000"/>
          <w:sz w:val="22"/>
          <w:szCs w:val="22"/>
        </w:rPr>
        <w:t xml:space="preserve">(black walnut) has been recorded as the most severely affected host plant (EFSA, 2020). In the USA, the disease has also been observed on many other walnut species, such as </w:t>
      </w:r>
      <w:r>
        <w:rPr>
          <w:rFonts w:ascii="Calibri" w:hAnsi="Calibri" w:eastAsia="Calibri" w:cs="Calibri"/>
          <w:i/>
          <w:iCs/>
          <w:color w:val="000000"/>
          <w:sz w:val="22"/>
          <w:szCs w:val="22"/>
        </w:rPr>
        <w:t xml:space="preserve">J. californica </w:t>
      </w:r>
      <w:r>
        <w:rPr>
          <w:rFonts w:ascii="Calibri" w:hAnsi="Calibri" w:eastAsia="Calibri" w:cs="Calibri"/>
          <w:color w:val="000000"/>
          <w:sz w:val="22"/>
          <w:szCs w:val="22"/>
        </w:rPr>
        <w:t xml:space="preserve">(Southern California black walnut), </w:t>
      </w:r>
      <w:r>
        <w:rPr>
          <w:rFonts w:ascii="Calibri" w:hAnsi="Calibri" w:eastAsia="Calibri" w:cs="Calibri"/>
          <w:i/>
          <w:iCs/>
          <w:color w:val="000000"/>
          <w:sz w:val="22"/>
          <w:szCs w:val="22"/>
        </w:rPr>
        <w:t xml:space="preserve">J. hindsii </w:t>
      </w:r>
      <w:r>
        <w:rPr>
          <w:rFonts w:ascii="Calibri" w:hAnsi="Calibri" w:eastAsia="Calibri" w:cs="Calibri"/>
          <w:color w:val="000000"/>
          <w:sz w:val="22"/>
          <w:szCs w:val="22"/>
        </w:rPr>
        <w:t xml:space="preserve">(Northern California black walnut),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hybrids (e.g. </w:t>
      </w:r>
      <w:r>
        <w:rPr>
          <w:rFonts w:ascii="Calibri" w:hAnsi="Calibri" w:eastAsia="Calibri" w:cs="Calibri"/>
          <w:i/>
          <w:iCs/>
          <w:color w:val="000000"/>
          <w:sz w:val="22"/>
          <w:szCs w:val="22"/>
        </w:rPr>
        <w:t xml:space="preserve">J. hindsii × J. regia</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J. cinerea </w:t>
      </w:r>
      <w:r>
        <w:rPr>
          <w:rFonts w:ascii="Calibri" w:hAnsi="Calibri" w:eastAsia="Calibri" w:cs="Calibri"/>
          <w:color w:val="000000"/>
          <w:sz w:val="22"/>
          <w:szCs w:val="22"/>
        </w:rPr>
        <w:t xml:space="preserve">(butter nut). On </w:t>
      </w:r>
      <w:r>
        <w:rPr>
          <w:rFonts w:ascii="Calibri" w:hAnsi="Calibri" w:eastAsia="Calibri" w:cs="Calibri"/>
          <w:i/>
          <w:iCs/>
          <w:color w:val="000000"/>
          <w:sz w:val="22"/>
          <w:szCs w:val="22"/>
        </w:rPr>
        <w:t xml:space="preserve">J. major </w:t>
      </w:r>
      <w:r>
        <w:rPr>
          <w:rFonts w:ascii="Calibri" w:hAnsi="Calibri" w:eastAsia="Calibri" w:cs="Calibri"/>
          <w:color w:val="000000"/>
          <w:sz w:val="22"/>
          <w:szCs w:val="22"/>
        </w:rPr>
        <w:t xml:space="preserve">(Arizona walnut),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causes small, superficial cankers but no extensive dieback. Finally,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(English walnut) has exhibited symptoms only in rare cases. Susceptibility studies carried out in the USA have shown that all tested walnut species (</w:t>
      </w:r>
      <w:r>
        <w:rPr>
          <w:rFonts w:ascii="Calibri" w:hAnsi="Calibri" w:eastAsia="Calibri" w:cs="Calibri"/>
          <w:i/>
          <w:iCs/>
          <w:color w:val="000000"/>
          <w:sz w:val="22"/>
          <w:szCs w:val="22"/>
        </w:rPr>
        <w:t xml:space="preserve">J. ailanthifolia, J. californica, J. cinerea, J. hindsii, J. major, J. mandshurica, J. microcarpa, J. nigra, J. regia</w:t>
      </w:r>
      <w:r>
        <w:rPr>
          <w:rFonts w:ascii="Calibri" w:hAnsi="Calibri" w:eastAsia="Calibri" w:cs="Calibri"/>
          <w:color w:val="000000"/>
          <w:sz w:val="22"/>
          <w:szCs w:val="22"/>
        </w:rPr>
        <w:t xml:space="preserve">) were susceptible to the disease but at different levels. In these experiments,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was the most susceptible species, and results obtained for other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corroborated many of the field observations made so far in the USA. In these experiments, inoculated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developed cankers but susceptibility varied between experiments (EPPO, 2015). In Europe, the disease was recorded in Italy only on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the former being more severely affected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this newly recognized pathogen is uncertain, but isolates from walnut species in the Western United States show high genetic diversity, suggesting the fungus may be native to that region. The known distribution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overlaps with those of its vector,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Curculionidae, Scolytinae), native to the south-western United States and Mexico and then introduced to the North-Western and Eastern USA. However,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additionally been reported from Chihuahua State, Mexico, where the fungus was not detected (Wood, 1982; Wood and Bright, 1992). In 2013 both the thousand cankers disease, the disease caused by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were first recorded in the EPPO region in North-Eastern Italy, in Veneto region, Vicenza province on symptomatic black walnuts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2014 both pests were also found on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disease then spread within Northern Italy into Piedmont, the rest of Veneto, Lombardy, Tuscany and Emilia-Romagna regions (EPPO, 2019), and the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also detected in Friuli Venezia Giulia (EPPO, 2016).</w:t>
      </w:r>
    </w:p>
    <w:p>
      <w:r>
        <w:drawing>
          <wp:inline distT="0" distB="0" distL="0" distR="0">
            <wp:extent cx="6120000" cy="3067200"/>
            <wp:docPr id="99889562" name="name98996917cb6a86309" descr="GEOH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HMO_distribution_map.jpg"/>
                    <pic:cNvPicPr/>
                  </pic:nvPicPr>
                  <pic:blipFill>
                    <a:blip r:embed="rId53236917cb6a863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Thousand cankers disease is the result of the combined activity of the fungus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insect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Only asexual reproduction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is known and no sexual stage has been identified (EPPO, 2015). Reproduction occurs by conidia (fungal spores) produced in conidiophores (CABI, 2019). Adults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carry the pathogen conidia passively and introduce them into the host trees when the insects bore penetration holes and galleries into the bark to reproduce in the phloem. The insect can also introduce the fungus into the tree via short galleries excavated in the bark, which are then abandoned (tasting holes) (Audley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Unlike most bark beetles,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no mycangium (specific structures to transport symbiotic fungi) however, the elytras of emerging adult beetles from infected host trees are heavily contaminated externally with spores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Cranshaw and Tisserat, 2012). Small, round to oval, and dark-brown cankers develop around the penetration holes and the maternal galleries bored by the adults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the bark colonisation of the host. The fungus develops within and around the insect galleries in the phloem but it does not spread systemically within the host tree (EFSA, 2020). The mating systems of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are short, perpendicular to the wood fibres, 2.5–5 cm long and composed of 2-3 egg galleries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Faccoli, 2015). The cankers are often scattered every 2–5 cm and initially limited to the phloem and the outer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symptoms of thousand cankers disease are not usually visible until the tree is significantly damaged. The period between the first bark infection and the development of visible external symptoms of the tree may be several years, depending on many factors. In the most susceptible walnut species and genotypes, tree death occurs 3–5 years after the first symptoms appear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Macroscopic symptoms of thousand cankers disease are detectable at an early stage on small-diameter twigs (up to 15 mm)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These symptoms consist of feeding wounds or penetration and emergence holes produced by infected walnut twig beetles which release mycelial propagules, allowing fungal colonization of the neighbouring subcortical tissues. This gives rise to numerous (hence the name thousand cankers) single small subcortical dark-brown to black cankers, from a few millimetres up to 10–20 cm in size, elongated lengthwise along the stem.  Initially, the cankers are only visible under the bark, but in a few weeks symptoms become visible also externally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are usually the result of many infestation points on the same branch resulting in multiple, coalescing cankers girdling the branch, and spreading downward often causing the death of the tree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Non-merging cankers, equidistant from neighbouring ones and frequently exhibiting darker edges (due to incompatibility reactions between isolates, which are probably associated with the presence of a mycovirus) can be also observed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the cankers develop deeply reaching the cambium, the infected plant tissues macerate and the cankers can merge as a result of extensive bark colonization of the beetle due to multiple attacks and may finally cause dieback of the whole branches and twigs. Following merging, in the advanced stages of decline trunk cankers can exceed 2 m vertically and cover half or more of the trunk circumference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Stressed trees show earlier external symptoms than vigorous trees. The main external symptoms of thousand cankers disease include crown dieback, flag-like wilting, subcortical cankers along trunk and branches, abnormally thin crowns, holes on the bark with emerging mycelium, and wilted individual branches with yellowing or wilted leaves that remain on the tree. Relatively large numbers of walnut twig beetles are needed to cause enough cankers to kill trees. The pathogen does not affect the plant root system, and stumps or the lowest part of trunk, which may produce many new vigorous suckers. The best season for external examination is summer, when wilting symptoms will be most noticeable.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by colony characteristics and microscopy is not easy and should be performed by expert mycologists. The EFSA (2020) pest survey card dealing with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provides a clear description of the main protocols required for correct isolation, and morphological or molecular identification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Similar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also reported in the thousand cankers disease guidelines from the US Department of Agriculture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this respect, EFSA (2020) underlines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be confused with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although colonies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are lobated and various shades of yellow, whereas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has green to grey colonies. Moreover,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produces conidia linked in cylindrical to ellipsoid chains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distinguishable from the globose conidia of </w:t>
      </w:r>
      <w:r>
        <w:rPr>
          <w:rFonts w:ascii="Calibri" w:hAnsi="Calibri" w:eastAsia="Calibri" w:cs="Calibri"/>
          <w:i/>
          <w:iCs/>
          <w:color w:val="000000"/>
          <w:sz w:val="22"/>
          <w:szCs w:val="22"/>
        </w:rPr>
        <w:t xml:space="preserve">Penicillium </w:t>
      </w:r>
      <w:r>
        <w:rPr>
          <w:rFonts w:ascii="Calibri" w:hAnsi="Calibri" w:eastAsia="Calibri" w:cs="Calibri"/>
          <w:color w:val="000000"/>
          <w:sz w:val="22"/>
          <w:szCs w:val="22"/>
        </w:rPr>
        <w:t xml:space="preserve">(EFSA, 2020). Pictures of the colony appearance and the fungus are shown in Kolařík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Molecular identification carried out with the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-specific primers GmF3 and GmR13 resulted in 80–90% or higher accuracy in detecting the fungus from infected insects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EFSA 2020). Molecular identification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from colonies in culture is also very reliable, as fungal DNA is highly concentrated (EFSA, 2020). A rapid molecular method to identify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with the species-specific GS 004 microsatellite locus is also available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fungus and its vector are not easily detectable by visual examination of an infected tree. The symptoms include the penetration and exit holes of the insect vector (larvae and beetles are under the bark), as well as external symptoms on the tree due to fungal proliferation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nearby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grow. Moreover, extensive surveys should also be conducted in the regions where the pest has been already found. The survey can be based on the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infected plants</w:t>
      </w:r>
      <w:r>
        <w:rPr>
          <w:rFonts w:ascii="Calibri" w:hAnsi="Calibri" w:eastAsia="Calibri" w:cs="Calibri"/>
          <w:color w:val="000000"/>
          <w:sz w:val="22"/>
          <w:szCs w:val="22"/>
        </w:rPr>
        <w:t xml:space="preserve">. A specific survey to detect infected plants should be carried out in walnut plantations growing close to the potential points of entry. The presence of symptoms should be looked for on the walnut trees. Detection of symptoms is very difficult in the early stages of the infestation, and surveys need to be performed each year during the vegetative season, looking at the upper part of the canopy which may show the disease symptoms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visible symptoms on damaged trees may look similar to symptoms caused by other biological and abiotic stress factors (EPPO, 2015; Oren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symptoms are not specific to this pathogen but they are important features for a possible early-detection.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Low insect population densities at the beginning of an infestation are difficult to detect.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is one of only a few species of this genus that infests hardwood in North America, and the only one in Europe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EPPO, 2020). A detection of small bark beetles on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spp. or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 may indicate an infestation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color w:val="000000"/>
          <w:sz w:val="22"/>
          <w:szCs w:val="22"/>
        </w:rPr>
        <w:t xml:space="preserve">. Careful inspection of potentially infected material and the most relevant walnut commodities (i.e. round wood, firewood, bark, plants for planting) should be carried out at points of entry into the EPPO region to prevent or reduce further introductions and pathogen dispersal. Bark branches and logs may be inspected looking for entrance holes. Penetration and exit holes created by the vector are easy to detect. The shape of the mating system (egg and larval galleries) may also help in identifying the beetle species (Faccoli, 2015). The typical oval cankers caused by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are located in the phloem around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galleries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they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making their detection difficult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cankers. Dark stains of old plant sap may be visible on the bark (Graves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Tree sampling</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Trees showing symptoms of thousand cankers disease should be sampled to check for the presence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Heavily symptomatic branches or branches with small and round penetration holes must be debarked carefully with a knife until reaching the phloem. Only branches showing holes, insects (beetles or larvae) and/or cankers should be collected.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suggest cutting branches with a diameter of 5–10 and 15–30 cm length including both healthy and damaged tissues. Beetles or larvae extracted from the plant tissues can be stored singly in vials with 70% ethanol. Sampling tools should be sterilised with 70% ethanol before carrying out further sampling on different trees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reasons why walnut twig beetle populations have recently increased to levels causing major walnut mortality is unknown, but is likely to be linked to its invasion of new geographic areas where new species of walnut are found, some of which are highly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EFSA (2020) and to therein reported literature, the active flight capacity of the walnut twig beetle adults is limited and their natural spread capacity is rather low (EPPO, 2020), although wind may play a key role in the natural passive dispersal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potential spread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expected to be correlated to the population density (EPPO, 2015). However, field observations carried out in infested areas in Italy suggest a very high dispersal capacity of the disease also at very low population density, with a very rapid spread in the whole Northern and Central Italy in a few years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Concerning the natural spread of the fungus without its vector, preliminary investigations through spore trapping and laboratory trials demonstrated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can produce and release conidia from walnut twig beetle exit holes, which could spread at least over short distances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Air-dispersed conidia from infected walnuts to recently pruned fruit orchards growing close by cannot be excluded as a spread pathway. However, a successful colonisation of new hosts by air-dispersed conidia from infected walnuts is not expected without the vector (EPPO, 2015;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Human-assisted movement of infested bark, wood with bark (i.e. round wood, logs, processing wood residues, firewood) and mature plants for planting of the genera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can easily contribute to the spread of thousand cankers disease over long distances and across geographical barriers. This could explain the presence of a strain from the United States in the first European outbreak located in North Italy a few kilometres from a sawmill importing walnut logs from North America (Montecchio and Faccoli, 2014). For the fungus, wood chips may also be a pathway but it cannot spread or become further established in other host plants without the presence of the vector. Roots, nuts and seeds of these genera are not pathways for the pest or its vector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2015;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disease has been responsible for widespread mortality of walnut species in the United States (Zerillo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since 2013 also in Italy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Walnuts are trees of primary importance in Europe; they are naturally present in forests, cultivated for fruit or timber production, and grown as ornamental trees, and the dispersal of thousand cankers disease may have significant ecological, environmental and economic impacts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this respect, the economic impacts of thousand cankers disease would occur in four main areas: 1) loss to the wood products industry as trees die, 2) loss to forest landowners with black walnut trees on their property, 3) loss to the nut industry, and 4) the loss to local communities as street trees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 successful control procedure for thousand cankers disease has not yet been identified and the development of specific control strategies will require better understanding of the biology and ecology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its vector. Because of the extended period when adult beetles are active during spring and summer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(usually) large size of the susceptible trees, insecticide spray applications will likely have limited effectiveness. Furthermore, colonization of the bark and cambium by the fungus may continue even if adult beetles or larvae are killed by insecticides. Moreover, bark colonization will likely limit the effectiveness of systemic insecticides and fungicides to control pest and pathogen in already infested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chemical control methods (sprays of fungicides or applications through soil irrigation or trunk injections) have been investigated, but to date none have been reported to adequately control the pathogen (Hasey and Seybold, 2010; Tisserat and Cranshaw, 2012, Cranshaw and Tisserat, 2012). However, although no registered control protocols are available at present for preventing or treating trees infected by thousand cankers disease, preliminary tests performed - both in vitro and on naturally infected black walnut trees - with an injectable blend of pesticides killed more than 90% of the insects and the fungus for at least 12 months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Heat treatment of infected logs at 48°C (measured 1 cm below the cambium) for 40 minutes was also demonstrated to be effective against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walnut resistant cultivars is a possibility. Differences of susceptibility to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infections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20" w:after="220" w:line="240" w:lineRule="auto"/>
        <w:ind w:left="0" w:right="0"/>
        <w:jc w:val="both"/>
      </w:pPr>
      <w:r>
        <w:rPr>
          <w:rFonts w:ascii="Calibri" w:hAnsi="Calibri" w:eastAsia="Calibri" w:cs="Calibri"/>
          <w:color w:val="000000"/>
          <w:sz w:val="22"/>
          <w:szCs w:val="22"/>
        </w:rPr>
        <w:t xml:space="preserve">Rapid detection and removal of infected trees currently remains the primary means of managing thousand cankers disease. Reducing or slowing fungus spread from infested areas relies on quarantines of wood products and public education.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Pest Risk Analysis (EPPO, 2015) notes that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firstly for amenity purposes and later for the production of high-quality wood. Although more data is needed on its distribution and economic importance, this insect-fungus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risk factors and their relative risk estimation is essential for performing a risk-based survey.  For the identification of risk areas, it is first necessary to identify the activities that could contribute to the introduction or spread of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and its vector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 this respect, thousand cankers disease is considered to be a serious threat to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in the whole area in which they are grown within the EPPO region, as the distribution of susceptible walnut species and hybrids frequently overlaps in a geographical continuum. thousand cankers disease can thus potentially spread in the whole EPPO regions where walnut trees occur and, due to the thermophilic character of the fungus, this disease is expected to move mainly southward from the current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recommended phytosanitary measures and the requirements needed for the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protection and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thousand cankers disease and walnut twig beetle. The measures are based mainly on the movement restriction of products potentially infected and destruction of those already infected,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In the USA and Italy, phytosanitary measures have been taken to protect healthy walnut trees from extensive mortality. The directly applied phytosanitary measures mainly consist of restrictions on the movement of walnut wood and plants for planting to prevent fungus spread. Since 2014 a specific thousand cankers disease survey was implemented in North-Eastern Italy to monitor the infested areas, periodically updated according to new records. In these areas specific phytosanitary measures were implemented, including the prohibition of movement outside the infected areas of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with a diameter over 10 mm and wood products of the same genera (including felling and pruning residuals and bark), except for (a) wood squared to entirely remove bark, phloem and external xylem rings, and (b) wood thermally treated to reach at least 60°C at the external xylem rings for at least 45 min (higher than in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survey was carried out in walnut plantations and in nurseries producing plants for planting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nurseries occurring in the infested areas had to keep a register of plant movements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phytosanitary measures against thousand cankers disease and walnut twig beetle are based on the prompt cut, harvesting and destruction of infected trees aimed to reduce population density of the vector and the fungus inoculum in the environment. In particular, walnut wood may allow development of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infected wood must be destroyed. To be effective this phytosanitary practice needs to be done over a wide area. Infested trees and wood must be disposed of in a way that will reduce further insect emergence and not allow dispersal of beetles, or movement of fungus infected trees. Effective sanitation felling is often complicated by the long time lag between tree infestation and symptom expression, and difficulties in detecting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their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woody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Audley J, Klingeman WE, Mayfield III AE, Myers SW and Taylor A (2017) Walnut twig beetle (Coleoptera: Curculionidae: Scolytinae) colonization of Eastern black walnut nursery trees.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Invasive Species Compendium –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datasheet. Available online: </w:t>
      </w:r>
      <w:hyperlink r:id="rId41506917cb6a8787c" w:history="1">
        <w:r>
          <w:rPr>
            <w:rFonts w:ascii="Calibri" w:hAnsi="Calibri" w:eastAsia="Calibri" w:cs="Calibri"/>
            <w:color w:val="0000CC"/>
            <w:sz w:val="22"/>
            <w:szCs w:val="22"/>
            <w:u w:val="single"/>
          </w:rPr>
          <w:t xml:space="preserve">https://www.cabi.org/isc/datasheet/117952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79616917cb6a878ca" w:history="1">
        <w:r>
          <w:rPr>
            <w:rFonts w:ascii="Calibri" w:hAnsi="Calibri" w:eastAsia="Calibri" w:cs="Calibri"/>
            <w:color w:val="0000CC"/>
            <w:sz w:val="22"/>
            <w:szCs w:val="22"/>
            <w:u w:val="single"/>
          </w:rPr>
          <w:t xml:space="preserve">http://thousandcankers.com/wp-content/uploads/2018/08/CSU_TCD_FAQ_7_2012.pdf</w:t>
        </w:r>
      </w:hyperlink>
      <w:hyperlink r:id="rId23596917cb6a878de" w:history="1"/>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Wilstermann A, Hoppe B, Schrader G, Delbianco A and Vos S, 2020. Pest survey card on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its vector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EFSA supporting publication 2020:EN-1894. 31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Express PRA for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EPPO Platform on PRAs. Available online: </w:t>
      </w:r>
      <w:hyperlink r:id="rId65726917cb6a879c0" w:history="1">
        <w:r>
          <w:rPr>
            <w:rFonts w:ascii="Calibri" w:hAnsi="Calibri" w:eastAsia="Calibri" w:cs="Calibri"/>
            <w:color w:val="0000CC"/>
            <w:sz w:val="22"/>
            <w:szCs w:val="22"/>
            <w:u w:val="single"/>
          </w:rPr>
          <w:t xml:space="preserve">https://pra.eppo.int/pra/aa43e4f8-7092-445b-84c1-af9f40bdae01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Global database. EPPO Reporting Service no. 08 – 2016. Num. article: 2016/153. Available online: </w:t>
      </w:r>
      <w:hyperlink r:id="rId32866917cb6a879f5" w:history="1">
        <w:r>
          <w:rPr>
            <w:rFonts w:ascii="Calibri" w:hAnsi="Calibri" w:eastAsia="Calibri" w:cs="Calibri"/>
            <w:color w:val="0000CC"/>
            <w:sz w:val="22"/>
            <w:szCs w:val="22"/>
            <w:u w:val="single"/>
          </w:rPr>
          <w:t xml:space="preserve">https://gd.eppo.int/reporting/article-5898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Global database. EPPO Reporting Service no. 05 – 2019. Num. article: 2019/102. Available online: </w:t>
      </w:r>
      <w:hyperlink r:id="rId63326917cb6a87a28" w:history="1">
        <w:r>
          <w:rPr>
            <w:rFonts w:ascii="Calibri" w:hAnsi="Calibri" w:eastAsia="Calibri" w:cs="Calibri"/>
            <w:color w:val="0000CC"/>
            <w:sz w:val="22"/>
            <w:szCs w:val="22"/>
            <w:u w:val="single"/>
          </w:rPr>
          <w:t xml:space="preserve">https://gd.eppo.int/reporting/article-6532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AD, Coleman TW, Flint ML and Seybold SJ (2009) Walnut twig beetle and thousand cankers disease: Field identification guide, UC-IPM Website Publication, 2 pp. Available online: </w:t>
      </w:r>
      <w:hyperlink r:id="rId17376917cb6a87c35" w:history="1">
        <w:r>
          <w:rPr>
            <w:rFonts w:ascii="Calibri" w:hAnsi="Calibri" w:eastAsia="Calibri" w:cs="Calibri"/>
            <w:color w:val="0000CC"/>
            <w:sz w:val="22"/>
            <w:szCs w:val="22"/>
            <w:u w:val="single"/>
          </w:rPr>
          <w:t xml:space="preserve">http://www.ipm.ucdavis.edu/PDF/MISC/thousand_cankers_field_guide.pdf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Kolarík M, Freeland E, Utley C, Tisserat N (2011)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sp. nov., a new phytopathogenic species living in symbiosis with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in USA.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325-332.</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Fraedrich SW, Taylor A, Merten P, Myers SW (2014) Efficacy of heat treatment for the thousand cankers disease vector and pathogen in small black walnut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174–184.</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Berton V, Scattolin L (2015) Vegetative incompatibility and potential involvement of a mycovirus in the Italian population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 Juzwik J, Miller F, Roberts L and Ginzel MD (2019) Detection of </w:t>
      </w:r>
      <w:r>
        <w:rPr>
          <w:rFonts w:ascii="Calibri" w:hAnsi="Calibri" w:eastAsia="Calibri" w:cs="Calibri"/>
          <w:i/>
          <w:iCs/>
          <w:color w:val="000000"/>
          <w:sz w:val="22"/>
          <w:szCs w:val="22"/>
        </w:rPr>
        <w:t xml:space="preserve">Geosmithia morbida </w:t>
      </w:r>
      <w:r>
        <w:rPr>
          <w:rFonts w:ascii="Calibri" w:hAnsi="Calibri" w:eastAsia="Calibri" w:cs="Calibri"/>
          <w:color w:val="000000"/>
          <w:sz w:val="22"/>
          <w:szCs w:val="22"/>
        </w:rPr>
        <w:t xml:space="preserve">on numerous insect species in four eastern States.</w:t>
      </w:r>
      <w:r>
        <w:rPr>
          <w:rFonts w:ascii="Calibri" w:hAnsi="Calibri" w:eastAsia="Calibri" w:cs="Calibri"/>
          <w:i/>
          <w:iCs/>
          <w:color w:val="000000"/>
          <w:sz w:val="22"/>
          <w:szCs w:val="22"/>
        </w:rPr>
        <w:t xml:space="preserve"> 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LP, Fowler G, Neeley AD, Schall RA and Takeuchi Y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 </w:t>
      </w:r>
      <w:r>
        <w:rPr>
          <w:rFonts w:ascii="Calibri" w:hAnsi="Calibri" w:eastAsia="Calibri" w:cs="Calibri"/>
          <w:color w:val="000000"/>
          <w:sz w:val="22"/>
          <w:szCs w:val="22"/>
        </w:rPr>
        <w:t xml:space="preserve">50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Oren E, Klingeman W, Gazis R, Multon J, Lambdin P, Coggeshall M, Hulcr J, Seybold SJ and Hadziabdic D (2018) A novel molecular toolkit for rapid detection of the pathogen and primary vector of thousand cankers disease.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e0185087.</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11 pp. </w:t>
      </w:r>
      <w:r>
        <w:rPr>
          <w:rFonts w:ascii="Calibri" w:hAnsi="Calibri" w:eastAsia="Calibri" w:cs="Calibri"/>
          <w:color w:val="000000"/>
          <w:sz w:val="22"/>
          <w:szCs w:val="22"/>
        </w:rPr>
        <w:t xml:space="preserve">Available at</w:t>
      </w:r>
      <w:r>
        <w:rPr>
          <w:rFonts w:ascii="Calibri" w:hAnsi="Calibri" w:eastAsia="Calibri" w:cs="Calibri"/>
          <w:i/>
          <w:iCs/>
          <w:color w:val="000000"/>
          <w:sz w:val="22"/>
          <w:szCs w:val="22"/>
        </w:rPr>
        <w:t xml:space="preserve">: </w:t>
      </w:r>
      <w:hyperlink r:id="rId37796917cb6a881eb"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 Haugen D and Graves A (2019) Thousand Cankers Disease Survey Guidelines for 2020. </w:t>
      </w:r>
      <w:r>
        <w:rPr>
          <w:rFonts w:ascii="Calibri" w:hAnsi="Calibri" w:eastAsia="Calibri" w:cs="Calibri"/>
          <w:i/>
          <w:iCs/>
          <w:color w:val="000000"/>
          <w:sz w:val="22"/>
          <w:szCs w:val="22"/>
        </w:rPr>
        <w:t xml:space="preserve">United States Department of Agriculture: Forest Service (FS) and Plant Protection and Quarantine (PPQ)</w:t>
      </w:r>
      <w:r>
        <w:rPr>
          <w:rFonts w:ascii="Calibri" w:hAnsi="Calibri" w:eastAsia="Calibri" w:cs="Calibri"/>
          <w:color w:val="000000"/>
          <w:sz w:val="22"/>
          <w:szCs w:val="22"/>
        </w:rPr>
        <w:t xml:space="preserve">, March 2020, 55 pp. Available online: </w:t>
      </w:r>
      <w:hyperlink r:id="rId44466917cb6a88240" w:history="1">
        <w:r>
          <w:rPr>
            <w:rFonts w:ascii="Calibri" w:hAnsi="Calibri" w:eastAsia="Calibri" w:cs="Calibri"/>
            <w:color w:val="0000CC"/>
            <w:sz w:val="22"/>
            <w:szCs w:val="22"/>
            <w:u w:val="single"/>
          </w:rPr>
          <w:t xml:space="preserve">https://www.aphis.usda.gov/plant_health/plant_pest_info/tcd/downloads/tcd-survey-guidelines.pdf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and Bright DE (1992) A catalog of Scolytidae and Platypodidade (Coleoptera). Part 2: Taxonomic index - volume B.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1-1005. </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220" w:after="220" w:line="240" w:lineRule="auto"/>
        <w:ind w:left="0" w:right="0"/>
        <w:jc w:val="left"/>
      </w:pPr>
      <w:r>
        <w:rPr>
          <w:rFonts w:ascii="Calibri" w:hAnsi="Calibri" w:eastAsia="Calibri" w:cs="Calibri"/>
          <w:color w:val="000000"/>
          <w:sz w:val="22"/>
          <w:szCs w:val="22"/>
        </w:rPr>
        <w:t xml:space="preserve">Zerillo MM, Ibarra Caballero J, Woeste K, Graves AD, Hartel C, Pscheidt JW, Tonos J, Broders K, Cranshaw W, Seybold SJ, Tisserat N (2014) Population structure of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the causal agent of thousand cankers disease of walnut trees in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e112847.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EPPO datasheets on pests recommended for regulation. Available online. </w:t>
      </w:r>
      <w:hyperlink r:id="rId59126917cb6a885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601521" name="name29756917cb6a885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456917cb6a885e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44043">
    <w:multiLevelType w:val="hybridMultilevel"/>
    <w:lvl w:ilvl="0" w:tplc="24381321">
      <w:start w:val="1"/>
      <w:numFmt w:val="decimal"/>
      <w:lvlText w:val="%1."/>
      <w:lvlJc w:val="left"/>
      <w:pPr>
        <w:ind w:left="720" w:hanging="360"/>
      </w:pPr>
    </w:lvl>
    <w:lvl w:ilvl="1" w:tplc="24381321" w:tentative="1">
      <w:start w:val="1"/>
      <w:numFmt w:val="lowerLetter"/>
      <w:lvlText w:val="%2."/>
      <w:lvlJc w:val="left"/>
      <w:pPr>
        <w:ind w:left="1440" w:hanging="360"/>
      </w:pPr>
    </w:lvl>
    <w:lvl w:ilvl="2" w:tplc="24381321" w:tentative="1">
      <w:start w:val="1"/>
      <w:numFmt w:val="lowerRoman"/>
      <w:lvlText w:val="%3."/>
      <w:lvlJc w:val="right"/>
      <w:pPr>
        <w:ind w:left="2160" w:hanging="180"/>
      </w:pPr>
    </w:lvl>
    <w:lvl w:ilvl="3" w:tplc="24381321" w:tentative="1">
      <w:start w:val="1"/>
      <w:numFmt w:val="decimal"/>
      <w:lvlText w:val="%4."/>
      <w:lvlJc w:val="left"/>
      <w:pPr>
        <w:ind w:left="2880" w:hanging="360"/>
      </w:pPr>
    </w:lvl>
    <w:lvl w:ilvl="4" w:tplc="24381321" w:tentative="1">
      <w:start w:val="1"/>
      <w:numFmt w:val="lowerLetter"/>
      <w:lvlText w:val="%5."/>
      <w:lvlJc w:val="left"/>
      <w:pPr>
        <w:ind w:left="3600" w:hanging="360"/>
      </w:pPr>
    </w:lvl>
    <w:lvl w:ilvl="5" w:tplc="24381321" w:tentative="1">
      <w:start w:val="1"/>
      <w:numFmt w:val="lowerRoman"/>
      <w:lvlText w:val="%6."/>
      <w:lvlJc w:val="right"/>
      <w:pPr>
        <w:ind w:left="4320" w:hanging="180"/>
      </w:pPr>
    </w:lvl>
    <w:lvl w:ilvl="6" w:tplc="24381321" w:tentative="1">
      <w:start w:val="1"/>
      <w:numFmt w:val="decimal"/>
      <w:lvlText w:val="%7."/>
      <w:lvlJc w:val="left"/>
      <w:pPr>
        <w:ind w:left="5040" w:hanging="360"/>
      </w:pPr>
    </w:lvl>
    <w:lvl w:ilvl="7" w:tplc="24381321" w:tentative="1">
      <w:start w:val="1"/>
      <w:numFmt w:val="lowerLetter"/>
      <w:lvlText w:val="%8."/>
      <w:lvlJc w:val="left"/>
      <w:pPr>
        <w:ind w:left="5760" w:hanging="360"/>
      </w:pPr>
    </w:lvl>
    <w:lvl w:ilvl="8" w:tplc="24381321" w:tentative="1">
      <w:start w:val="1"/>
      <w:numFmt w:val="lowerRoman"/>
      <w:lvlText w:val="%9."/>
      <w:lvlJc w:val="right"/>
      <w:pPr>
        <w:ind w:left="6480" w:hanging="180"/>
      </w:pPr>
    </w:lvl>
  </w:abstractNum>
  <w:abstractNum w:abstractNumId="56244042">
    <w:multiLevelType w:val="hybridMultilevel"/>
    <w:lvl w:ilvl="0" w:tplc="68060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44042">
    <w:abstractNumId w:val="56244042"/>
  </w:num>
  <w:num w:numId="56244043">
    <w:abstractNumId w:val="562440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3524252" Type="http://schemas.microsoft.com/office/2011/relationships/commentsExtended" Target="commentsExtended.xml"/><Relationship Id="rId923648428" Type="http://schemas.microsoft.com/office/2011/relationships/people" Target="people.xml"/><Relationship Id="rId68716917cb6a8446f" Type="http://schemas.openxmlformats.org/officeDocument/2006/relationships/hyperlink" Target="https://gd.eppo.int/taxon/PITOJU/datasheet" TargetMode="External"/><Relationship Id="rId19656917cb6a84625" Type="http://schemas.openxmlformats.org/officeDocument/2006/relationships/hyperlink" Target="https://gd.eppo.int/taxon/GEOHMO/" TargetMode="External"/><Relationship Id="rId27856917cb6a84693" Type="http://schemas.openxmlformats.org/officeDocument/2006/relationships/hyperlink" Target="https://gd.eppo.int/taxon/GEOHMO/categorization" TargetMode="External"/><Relationship Id="rId46796917cb6a84ee8" Type="http://schemas.openxmlformats.org/officeDocument/2006/relationships/hyperlink" Target="https://gd.eppo.int/taxon/GEOHMO/photos" TargetMode="External"/><Relationship Id="rId41506917cb6a8787c" Type="http://schemas.openxmlformats.org/officeDocument/2006/relationships/hyperlink" Target="https://www.cabi.org/isc/datasheet/117952" TargetMode="External"/><Relationship Id="rId79616917cb6a878ca" Type="http://schemas.openxmlformats.org/officeDocument/2006/relationships/hyperlink" Target="http://thousandcankers.com/wp-content/uploads/2018/08/CSU_TCD_FAQ_7_2012.pdf" TargetMode="External"/><Relationship Id="rId23596917cb6a878de" Type="http://schemas.openxmlformats.org/officeDocument/2006/relationships/hyperlink" Target="http://bspm.agsci.-colostate.edu/files/2013/03/Questions-and-Answers-Revision-April-2012.pdf" TargetMode="External"/><Relationship Id="rId65726917cb6a879c0" Type="http://schemas.openxmlformats.org/officeDocument/2006/relationships/hyperlink" Target="https://pra.eppo.int/pra/aa43e4f8-7092-445b-84c1-af9f40bdae01" TargetMode="External"/><Relationship Id="rId32866917cb6a879f5" Type="http://schemas.openxmlformats.org/officeDocument/2006/relationships/hyperlink" Target="https://gd.eppo.int/reporting/article-5898" TargetMode="External"/><Relationship Id="rId63326917cb6a87a28" Type="http://schemas.openxmlformats.org/officeDocument/2006/relationships/hyperlink" Target="https://gd.eppo.int/reporting/article-6532" TargetMode="External"/><Relationship Id="rId17376917cb6a87c35" Type="http://schemas.openxmlformats.org/officeDocument/2006/relationships/hyperlink" Target="http://www.ipm.ucdavis.edu/PDF/MISC/thousand_cankers_field_guide.pdf" TargetMode="External"/><Relationship Id="rId37796917cb6a881eb" Type="http://schemas.openxmlformats.org/officeDocument/2006/relationships/hyperlink" Target="http://www.ipm.ucdavis.edu/PMG/menu.thousandcankers.html" TargetMode="External"/><Relationship Id="rId44466917cb6a88240" Type="http://schemas.openxmlformats.org/officeDocument/2006/relationships/hyperlink" Target="https://www.aphis.usda.gov/plant_health/plant_pest_info/tcd/downloads/tcd-survey-guidelines.pdf" TargetMode="External"/><Relationship Id="rId59126917cb6a88531" Type="http://schemas.openxmlformats.org/officeDocument/2006/relationships/hyperlink" Target="https://gd.eppo.int" TargetMode="External"/><Relationship Id="rId13606917cb6a84dd3" Type="http://schemas.openxmlformats.org/officeDocument/2006/relationships/image" Target="media/imgrId13606917cb6a84dd3.jpg"/><Relationship Id="rId53236917cb6a86306" Type="http://schemas.openxmlformats.org/officeDocument/2006/relationships/image" Target="media/imgrId53236917cb6a86306.jpg"/><Relationship Id="rId24456917cb6a885ec" Type="http://schemas.openxmlformats.org/officeDocument/2006/relationships/image" Target="media/imgrId24456917cb6a885e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