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Fusarium euwallaceae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euwallaceae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 Freeman, Z. Mendel, T. Aoki &amp; O’Donnell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Nectriaceae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Neocosmospora euwallaceae</w:t>
            </w:r>
            <w:r>
              <w:rPr>
                <w:rFonts w:ascii="Calibri" w:hAnsi="Calibri" w:eastAsia="Calibri" w:cs="Calibri"/>
                <w:color w:val="000000"/>
                <w:position w:val="-3"/>
                <w:sz w:val="22"/>
                <w:szCs w:val="22"/>
              </w:rPr>
              <w:t xml:space="preserve"> (S. Freeman, Z. Mendel, T. Aoki &amp; O’Donnell) Sandoval-Denis, L. Lombard &amp; Crous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Fusarium dieback, Fusarium wilt</w:t>
            </w:r>
            <w:hyperlink r:id="rId30786ac62a333fdb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8066ac62a333fe1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FUSAEW</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within the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species complex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is characterized as a fungal symbiont, vectored by the ambrosia beetle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Eichhoff (polyphagous shot hole borer), inciting Fusarium dieback on many host plants. Molecular phylogenetic analyses of multilocus DNA sequence data (Kasson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indicate that the symbiont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constitutes a novel subclade within Clade 3 of the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species complex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Furthermore,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was resolved as an independent evolutionary lineage that exhibits a distinct ecology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There is a dispute regarding the nomenclature of the genus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 whereby certain reports have preferred the designation </w:t>
      </w:r>
      <w:r>
        <w:rPr>
          <w:rFonts w:ascii="Calibri" w:hAnsi="Calibri" w:eastAsia="Calibri" w:cs="Calibri"/>
          <w:i/>
          <w:iCs/>
          <w:color w:val="000000"/>
          <w:sz w:val="22"/>
          <w:szCs w:val="22"/>
        </w:rPr>
        <w:t xml:space="preserve">Neocosmospora</w:t>
      </w:r>
      <w:r>
        <w:rPr>
          <w:rFonts w:ascii="Calibri" w:hAnsi="Calibri" w:eastAsia="Calibri" w:cs="Calibri"/>
          <w:color w:val="000000"/>
          <w:sz w:val="22"/>
          <w:szCs w:val="22"/>
        </w:rPr>
        <w:t xml:space="preserve">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based on monophyletic vs polyphyletic conclusions. In this report we have maintained the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option since the dispute has not yet been settled.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is completely dependent on the botanical host range of its vector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which is very broad. The host range reported by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includes 412 botanical species in 75 families; 109 are reported as breeding hosts, 95 are commercial timber tree species and 43 are fruit trees/shrubs. Initially, the avocado industry was the major concern, however, later it was found that the beetle/fungus complex causes serious damage on native and exotic trees in urban landscapes as well as in native forests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Boland, 2016;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beetle’s reproductive success rate, as well as the long list of botanical species belonging to the 'non-reproductive host' category, is the outcome of interactions between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and sapwood of the attacked tree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Thus, the host tree selected by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may be grouped into: (i) those that do not allow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to develop, (ii) those that reduce fungal development, and (iii) those that permit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proliferation. In summary, the host range suitable for beetle reproduction is determined by development of </w:t>
      </w:r>
      <w:r>
        <w:rPr>
          <w:rFonts w:ascii="Calibri" w:hAnsi="Calibri" w:eastAsia="Calibri" w:cs="Calibri"/>
          <w:i/>
          <w:iCs/>
          <w:color w:val="000000"/>
          <w:sz w:val="22"/>
          <w:szCs w:val="22"/>
        </w:rPr>
        <w:t xml:space="preserve">F. euwallacea</w:t>
      </w:r>
      <w:r>
        <w:rPr>
          <w:rFonts w:ascii="Calibri" w:hAnsi="Calibri" w:eastAsia="Calibri" w:cs="Calibri"/>
          <w:color w:val="000000"/>
          <w:sz w:val="22"/>
          <w:szCs w:val="22"/>
        </w:rPr>
        <w:t xml:space="preserve">e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buergerianum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Alectryon excelsus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saxicola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x blakeana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Bischofia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acerifolius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Calpurnia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semiserrata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Camptotheca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brewsteri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Castanospermum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retusus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Cleyera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laurifolius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controversa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Cussonia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lycioides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cacuminum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corallodendron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crista-galli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humeana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lysistemon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x sykesii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polyanthemos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torquata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platypoda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uhdei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Harpullia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Heliocarpus donnellsmithii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Hymenosporum flavum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feuillei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formosana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Luehea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Lysiphyllum carronii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veitchii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Melianthus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Metasequoia glyptostroboides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articulata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Parasenegalia visco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x sonorae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Pipturus argenteus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kawakamii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chrysolepis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gooddingii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Schotia brachypetala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racemosa var. liebmannii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Ungnadia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Xylosma congesta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As mentioned within the host range section, geographical distribution of the fungal symbiont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is strictly dictated by the beetle vector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Thus, the beetle/fungal symbiont species complex is native to Asia and Oceania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is reported to have originated from countries within the Far East: China, Japan, Malaysia, Sri Lanka, Taiwan, Thailand, and Vietnam, as well as Samoa (Oceania) and has been introduced into Argentina, Israel, South Africa, and the United States (California and Hawaii)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Rugman-Jones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Europe, outbreaks of the fungus/beetle complex have been reported from protected greenhouse habitats in Poland (Poznan-2019), Italy (Merano-2020), the Netherlands and Germany (Berlin and Erfurt-2021) (Schuler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Removal of the host plants resulted in eradication of the beetle and its fungal symbiont (EPPO, 2024).</w:t>
      </w:r>
    </w:p>
    <w:p>
      <w:r>
        <w:drawing>
          <wp:inline distT="0" distB="0" distL="0" distR="0">
            <wp:extent cx="6120000" cy="3067200"/>
            <wp:docPr id="62578823" name="name82186ac62a3341f5f" descr="FUSAEW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AEW_distribution_map.jpg"/>
                    <pic:cNvPicPr/>
                  </pic:nvPicPr>
                  <pic:blipFill>
                    <a:blip r:embed="rId13736ac62a3341f5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Israel,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(Chongqing, Guizhou, Xianggang (Hong Kong), Yunnan), India (Uttar Pradesh, West Bengal), Israel, Japan (Ryukyu Archipelago), Malaysia (Sabah),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Hawaii)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(Ceara, Minas Gerais, Parana, Santa Catarina, Sao Paulo),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is an obligate symbiont of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and serves as a nutritional source for the ambrosia beetle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euwallaceae</w:t>
      </w:r>
      <w:r>
        <w:rPr>
          <w:rFonts w:ascii="Calibri" w:hAnsi="Calibri" w:eastAsia="Calibri" w:cs="Calibri"/>
          <w:color w:val="000000"/>
          <w:sz w:val="22"/>
          <w:szCs w:val="22"/>
        </w:rPr>
        <w:t xml:space="preserve"> is considered nonpathogenic to host plants in its native environment, where most ambrosia beetle species attack only weakened or dying plants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a few ambrosia species, including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colonize healthy trees and cause damage through mass accumulation (Hulcr and Stelinski, 2017). Two more recently described symbiotic fungi (</w:t>
      </w:r>
      <w:r>
        <w:rPr>
          <w:rFonts w:ascii="Calibri" w:hAnsi="Calibri" w:eastAsia="Calibri" w:cs="Calibri"/>
          <w:i/>
          <w:iCs/>
          <w:color w:val="000000"/>
          <w:sz w:val="22"/>
          <w:szCs w:val="22"/>
        </w:rPr>
        <w:t xml:space="preserve">Graphium euwallaceae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Paracremonium pembeum</w:t>
      </w:r>
      <w:r>
        <w:rPr>
          <w:rFonts w:ascii="Calibri" w:hAnsi="Calibri" w:eastAsia="Calibri" w:cs="Calibri"/>
          <w:color w:val="000000"/>
          <w:sz w:val="22"/>
          <w:szCs w:val="22"/>
        </w:rPr>
        <w:t xml:space="preserve">), in addition to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are carried by the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beetle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Lynch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the adult female beetle carries predominantly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within the mycangia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It appears that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is required for establishment in a new host, and this fungus allows the beetle to complete its life cycle. Thus,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is involved in two major requirements of the vector: (i) overcoming the xylem tissue resistance for establishment of the beetles in galleries, and (ii) serving as a food source during the first phase of colonizing females, and likely throughout its adult life cycle. It has been suggested that the first food source for early larvae is </w:t>
      </w:r>
      <w:r>
        <w:rPr>
          <w:rFonts w:ascii="Calibri" w:hAnsi="Calibri" w:eastAsia="Calibri" w:cs="Calibri"/>
          <w:i/>
          <w:iCs/>
          <w:color w:val="000000"/>
          <w:sz w:val="22"/>
          <w:szCs w:val="22"/>
        </w:rPr>
        <w:t xml:space="preserve">Graphium euwallaceae</w:t>
      </w:r>
      <w:r>
        <w:rPr>
          <w:rFonts w:ascii="Calibri" w:hAnsi="Calibri" w:eastAsia="Calibri" w:cs="Calibri"/>
          <w:color w:val="000000"/>
          <w:sz w:val="22"/>
          <w:szCs w:val="22"/>
        </w:rPr>
        <w:t xml:space="preserve"> while adult parent beetles consume predominantly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The role of </w:t>
      </w:r>
      <w:r>
        <w:rPr>
          <w:rFonts w:ascii="Calibri" w:hAnsi="Calibri" w:eastAsia="Calibri" w:cs="Calibri"/>
          <w:i/>
          <w:iCs/>
          <w:color w:val="000000"/>
          <w:sz w:val="22"/>
          <w:szCs w:val="22"/>
        </w:rPr>
        <w:t xml:space="preserve">Paracremonium pemberum</w:t>
      </w:r>
      <w:r>
        <w:rPr>
          <w:rFonts w:ascii="Calibri" w:hAnsi="Calibri" w:eastAsia="Calibri" w:cs="Calibri"/>
          <w:color w:val="000000"/>
          <w:sz w:val="22"/>
          <w:szCs w:val="22"/>
        </w:rPr>
        <w:t xml:space="preserve"> has not yet been determined, although it may be postulated to serve as an antagonist of contaminant fungi, including the previous two symbionts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female ambrosia beetles bore and tunnel into the trunk, stems and branches of healthy trees and cause damage through mass accumulation. Thereafter, the symbiont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released from beetle mycangia colonizes the base of secondary branches, resulting in localized branch dieback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produces localized necrosis inciting a significant amount of damage when inoculated by a large number of beetles within the host tree galleries (Smith and Hulcr, 2015). Pathogenicity is manifested by invasion of the tree vascular system, causing cambial necrosis, sugar or gum exudation, branch dieback, and mortality of a wide spectrum of tree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avocado,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did not spread far from the beetle galleries and remained viable in live xylem for up to 25 months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Recovery of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from heavily infested branches can be identified according to stained gallery tissues as was determined in naturally fungus-infected avocado.</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forms ellipsoidal, blue to brownish-pigmented clavate, multiseptated macroconidia, a useful phenotypic character for distinguishing this species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Aerial conidia are mostly ellipsoidal, fusiform-ellipsoidal to short clavate, e.g. three-septate measuring on average 22.5–39 × 6.5–11 µm. Chlamydospores are formed abundantly in hyphae and in conidia, mostly subglobose to round ellipsoidal, intercalary or terminal, single, or often in chains, ordinary hyaline to pale-yellow, later becoming bluish to brownish when strongly pigmented, smooth to often rough-walled, measuring on average 6–12 × 6–10 µm; sclerotia are absent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Colonies of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on PDA show radial mycelial growth rates of 4.5 to 4.8 mm/day at 25°C.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Susceptible tree hosts, such as box elder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and/or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should be surveyed periodically for tree mortality and/or branch dieback with signs of beetle attack at junctions of small and mid-size shaded branches, showing the presence of frass at exit holes accompanied by exudates described following infection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From these infection sites, plant material can be plated on PDA and/or SNA media for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identification according to morphology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by molecular identification according to species-specific PCR amplification protocols of DNA extracted from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(de Jager and Roets, 2022;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is vectored actively by the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ambrosia beetle which is the major means of dispersal of the pathogen. Therefore, over short distances, flight of female beetles carrying the fungus within their mycangia is one of the main means of movement to previously uninfected areas where susceptible host plant species prevail (EPPO, 2024). In addition, the movement and shipping of beetle and fungus-infected timber and wood packaging material, are also ways of spreading the fungal-vector complex, mainly at ports of entry to countries where the products are delivered. Movement of infested host plants for planting can also transport all stages of the fungal-vector complex.</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economic impacts have been reported in various countries and areas worldwide, including Argentina, California (USA), Israel and South Africa. In various host plants, the beetle bores and tunnels into trunks, stems and branches of healthy trees and causes damage through mass infestations. Female beetles usually colonize the base of secondary branches, release spores of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resulting in localized branch dieback. Besides detrimentally affecting the health of host trees, beetle-pathogen colonization and establishment and weakened trees can also fall and cause damage and injury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the fungus-beetle complex causes serious damage to urban environments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while in Israel, the complex has severely affected avocado crop cultivation and yields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Argentina, the maple industry has been compromised, whereby branch dieback and complete tree mortality have been reported within a short period of time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Southern California in both urban and native stands, a wide range of ornamental and agriculturally important hardwood host species are threatened, and infestations are causing serious ecological and environmental damage (Chen et al.,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 to management procedures for the beetle that vectors the pathogen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early detection, sanitation measures and preventive insecticide sprays should be implemented. Infested branches should be removed and destroyed (chipped, burned, buried or solarized by covering under a tarp under direct sun (Jones and Paine,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the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/beetle complex affecting sycamore trees in California has been reported using pesticide injection techniques. It was shown that the systemic fungicide propiconazole, alone or combined with the systemic insecticide emamectin benzoate, can significantly reduce the fungal infection after infestation by the beetle (Grosman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Thus, emamectin benzoate alone or combined with propiconazole can significantly act as therapeutic and preventative treatments for management of the fungal/beetle complex in sycamore trees in southern California (Grosman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 broad spectrum of host plants has been recorded for the species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vectoring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For example, among 583 examined tree species, 13.8% were considered reproductive hosts, allowing the symbiotic fungus to survive and colonize plants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Therefore, any of this woody material of a suitable size and moisture content may be infested and thus, pose a direct risk of the beetle/fungal population establishing itself in areas outside the natural habitat of the complex (EPPO, 2024). In the EPPO region, and elsewhere, certain fruit crops such as avocado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other ornamental trees can be a source of spread of the complex if not strictly monitored before being exported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Global movement of commodities has increased significantly over the years, thus the transport of </w:t>
      </w:r>
      <w:r>
        <w:rPr>
          <w:rFonts w:ascii="Calibri" w:hAnsi="Calibri" w:eastAsia="Calibri" w:cs="Calibri"/>
          <w:i/>
          <w:iCs/>
          <w:color w:val="000000"/>
          <w:sz w:val="22"/>
          <w:szCs w:val="22"/>
        </w:rPr>
        <w:t xml:space="preserve">F. euwallaceae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complex in timber and wood packaging material, such as pallets, crates and dunnage should be monitored, and/or treated to eliminate beetle/pathogen introduction (EPPO, 2024). Spread and establishment of potential beetle infestations and fungal infections via plants for planting may also take place, therefore, such plant material should originate from pest-free areas or pest-free production sites where plants are cultivated under physical isolation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Boland J (2016) The impact of an invasive ambrosia beetle on the riparian habitats of the Tijuana River Valley, California. </w:t>
      </w:r>
      <w:r>
        <w:rPr>
          <w:rFonts w:ascii="Calibri" w:hAnsi="Calibri" w:eastAsia="Calibri" w:cs="Calibri"/>
          <w:i/>
          <w:iCs/>
          <w:color w:val="000000"/>
          <w:sz w:val="22"/>
          <w:szCs w:val="22"/>
        </w:rPr>
        <w:t xml:space="preserve">PeerJ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e2141. </w:t>
      </w:r>
      <w:hyperlink r:id="rId44146ac62a3342cf5" w:history="1">
        <w:r>
          <w:rPr>
            <w:rFonts w:ascii="Calibri" w:hAnsi="Calibri" w:eastAsia="Calibri" w:cs="Calibri"/>
            <w:color w:val="0000CC"/>
            <w:sz w:val="22"/>
            <w:szCs w:val="22"/>
            <w:u w:val="single"/>
          </w:rPr>
          <w:t xml:space="preserve">https://doi.org/10.7717/peerj.2141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Johnson AJ &amp; Gomez DF (2023) Uncharted territories: First report of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(Eichhoff) in South America with new reproductive hosts records.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5325</w:t>
      </w:r>
      <w:r>
        <w:rPr>
          <w:rFonts w:ascii="Calibri" w:hAnsi="Calibri" w:eastAsia="Calibri" w:cs="Calibri"/>
          <w:color w:val="000000"/>
          <w:sz w:val="22"/>
          <w:szCs w:val="22"/>
        </w:rPr>
        <w:t xml:space="preserve">(2), 289–297. </w:t>
      </w:r>
      <w:hyperlink r:id="rId10516ac62a3342d8d" w:history="1">
        <w:r>
          <w:rPr>
            <w:rFonts w:ascii="Calibri" w:hAnsi="Calibri" w:eastAsia="Calibri" w:cs="Calibri"/>
            <w:color w:val="0000CC"/>
            <w:sz w:val="22"/>
            <w:szCs w:val="22"/>
            <w:u w:val="single"/>
          </w:rPr>
          <w:t xml:space="preserve">https://doi.org/10.11646/zootaxa.5325.2.10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Y, Coleman TW, Poloni AL, Nelson L &amp; Seybold SJ (2020) Reproduction and control of the invasive polyphagous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Scolytinae), in three species of hardwoods: Effective sanitation through felling and chipping.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(5), 1155-1163. </w:t>
      </w:r>
      <w:hyperlink r:id="rId71886ac62a3342e40" w:history="1">
        <w:r>
          <w:rPr>
            <w:rFonts w:ascii="Calibri" w:hAnsi="Calibri" w:eastAsia="Calibri" w:cs="Calibri"/>
            <w:color w:val="0000CC"/>
            <w:sz w:val="22"/>
            <w:szCs w:val="22"/>
            <w:u w:val="single"/>
          </w:rPr>
          <w:t xml:space="preserve">https://doi.org/10.1093/ee/nvaa103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Crous PW, Lombard L, Sandoval-Denis M, Seifert KA, Schroers HJ, Chaverri P, Gené J, Guarro J, Hirooka Y, Bensch K, Kema GHJ, Lamprecht SC, Cai L, Rossman AY, Stadler M, Summerbell RC, Taylor JW, Ploch S, Visagie CM, Yilmaz N, Frisvad JC, Abdel-Azeem AM, Abdollahzadeh J, Abdolrasouli A, Akulov A, Alberts JF, Araújo JPM, Ariyawansa HA, Bakhshi M, Bendiksby M, Ben Hadj Amor A, Bezerra JDP, Boekhout T, Câmara MPS, Carbia M, Cardinali G, Castañeda-Ruiz RF, Celis A, Chaturvedi V, Collemare J, Croll D, Damm U, Decock CA, de Vries RP, Ezekiel CN, Fan XL, Fernández NB, Gaya E, González CD, Gramaje D, Groenewald JZ, Grube M, Guevara-Suarez M, Gupta VK, Guarnaccia V, Haddaji A, Hagen F, Haelewaters D, Hansen K, Hashimoto A, Hernández-Restrepo M, Houbraken J, Hubka V, Hyde KD, Iturriaga T, Jeewon R, Johnston PR, Jurjević Ž, Karalti I, Korsten L, Kuramae EE, Kušan I, Labuda R, Lawrence DP, Lee HB, Lechat C, Li HY, Litovka YA, Maharachchikumbura SSN, Marin-Felix Y, Matio Kemkuignou B, Matočec N, McTaggart AR, Mlčoch P, Mugnai L, Nakashima C, Nilsson RH, Noumeur SR, Pavlov IN, Peralta MP, Phillips AJL, Pitt JI, Polizzi G, Quaedvlieg W, Rajeshkumar KC, Restrepo S, Rhaiem A, Robert J, Robert V, Rodrigues AM, Salgado-Salazar C, Samson RA, Santos ACS, Shivas RG, Souza-Motta CM, Sun GY, Swart WJ, Szoke S, Tan YP, Taylor JE, Taylor PWJ, Tiago PV, Váczy KZ, van de Wiele N, van der Merwe NA, Verkley GJM, Vieira WAS, Vizzini A, Weir BS, Wijayawardene NN, Xia JW, Yáñez-Morales MJ, Yurkov A, Zamora JC, Zare R, Zhang CL, &amp; Thines M (2021)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More than a node or a foot-shaped basal cell.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е100116. </w:t>
      </w:r>
      <w:hyperlink r:id="rId49266ac62a3342ee1" w:history="1">
        <w:r>
          <w:rPr>
            <w:rFonts w:ascii="Calibri" w:hAnsi="Calibri" w:eastAsia="Calibri" w:cs="Calibri"/>
            <w:color w:val="0000CC"/>
            <w:sz w:val="22"/>
            <w:szCs w:val="22"/>
            <w:u w:val="single"/>
          </w:rPr>
          <w:t xml:space="preserve">https://doi.org/10.1016/j.simyco.2021.100116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Jager MM &amp; Roets F (2022) Rapid and cost-effective detection of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from woody tissues.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1712-1720. </w:t>
      </w:r>
      <w:hyperlink r:id="rId28966ac62a3342f72" w:history="1">
        <w:r>
          <w:rPr>
            <w:rFonts w:ascii="Calibri" w:hAnsi="Calibri" w:eastAsia="Calibri" w:cs="Calibri"/>
            <w:color w:val="0000CC"/>
            <w:sz w:val="22"/>
            <w:szCs w:val="22"/>
            <w:u w:val="single"/>
          </w:rPr>
          <w:t xml:space="preserve">https://doi.org/10.1111/ppa.13600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Report of a Pest Risk Analysis for </w:t>
      </w:r>
      <w:r>
        <w:rPr>
          <w:rFonts w:ascii="Calibri" w:hAnsi="Calibri" w:eastAsia="Calibri" w:cs="Calibri"/>
          <w:i/>
          <w:iCs/>
          <w:color w:val="000000"/>
          <w:sz w:val="22"/>
          <w:szCs w:val="22"/>
        </w:rPr>
        <w:t xml:space="preserve">Euwallacea fornicatus sensu lato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(revised version), 8 pp. </w:t>
      </w:r>
      <w:hyperlink r:id="rId37376ac62a3342fe3" w:history="1">
        <w:r>
          <w:rPr>
            <w:rFonts w:ascii="Calibri" w:hAnsi="Calibri" w:eastAsia="Calibri" w:cs="Calibri"/>
            <w:color w:val="0000CC"/>
            <w:sz w:val="22"/>
            <w:szCs w:val="22"/>
            <w:u w:val="single"/>
          </w:rPr>
          <w:t xml:space="preserve">https://pra.eppo.int/pra/4880c445-9ca7-485a-9e3a-edde73e472fa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w:t>
      </w:r>
      <w:r>
        <w:rPr>
          <w:rFonts w:ascii="Calibri" w:hAnsi="Calibri" w:eastAsia="Calibri" w:cs="Calibri"/>
          <w:i/>
          <w:iCs/>
          <w:color w:val="000000"/>
          <w:sz w:val="22"/>
          <w:szCs w:val="22"/>
        </w:rPr>
        <w:t xml:space="preserve">Euwallacea fornicatus sensu stricto</w:t>
      </w:r>
      <w:r>
        <w:rPr>
          <w:rFonts w:ascii="Calibri" w:hAnsi="Calibri" w:eastAsia="Calibri" w:cs="Calibri"/>
          <w:color w:val="000000"/>
          <w:sz w:val="22"/>
          <w:szCs w:val="22"/>
        </w:rPr>
        <w:t xml:space="preserve">. EPPO datasheets on pests recommended for regulation. Available online. </w:t>
      </w:r>
      <w:hyperlink r:id="rId33466ac62a3343037" w:history="1">
        <w:r>
          <w:rPr>
            <w:rFonts w:ascii="Calibri" w:hAnsi="Calibri" w:eastAsia="Calibri" w:cs="Calibri"/>
            <w:color w:val="0000CC"/>
            <w:sz w:val="22"/>
            <w:szCs w:val="22"/>
            <w:u w:val="single"/>
          </w:rPr>
          <w:t xml:space="preserve">https://gd.eppo.int/taxon/EUWAWH</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Eskalen A, Gonzalez A, Wang DH, Twizeyimana M, Mayorquin SJ &amp; Lynch SC (2012) First report of a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sp.and its vector tea shot hole borer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causing fusarium dieback on avocado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(7), 1070. </w:t>
      </w:r>
      <w:hyperlink r:id="rId53386ac62a33430e7" w:history="1">
        <w:r>
          <w:rPr>
            <w:rFonts w:ascii="Calibri" w:hAnsi="Calibri" w:eastAsia="Calibri" w:cs="Calibri"/>
            <w:color w:val="0000CC"/>
            <w:sz w:val="22"/>
            <w:szCs w:val="22"/>
            <w:u w:val="single"/>
          </w:rPr>
          <w:t xml:space="preserve">https://doi.org/10.1094/PDIS-03-12-0276-PDN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Eskalen A, Stouthamer R, Lynch SC, Rugman-Jones PF, Twizeyimana M, Gonzalez A &amp; Thibault T (2013) Host range of Fusarium dieback and its ambrosia beetle (Coleoptera: Scolytinae) vector in Southern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(7), 938–951. </w:t>
      </w:r>
      <w:hyperlink r:id="rId43226ac62a3343159" w:history="1">
        <w:r>
          <w:rPr>
            <w:rFonts w:ascii="Calibri" w:hAnsi="Calibri" w:eastAsia="Calibri" w:cs="Calibri"/>
            <w:color w:val="0000CC"/>
            <w:sz w:val="22"/>
            <w:szCs w:val="22"/>
            <w:u w:val="single"/>
          </w:rPr>
          <w:t xml:space="preserve">https://doi.org/10.1094/PDIS-11-12-1026-RE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Freeman S, Miller G, Protasov A, Maymon M, Elazar M, David-Schwartz R, Zhou J &amp; Mendel Z (2019) Aposymbiotic interactions of three ambrosia beetle fungi with avocado trees. </w:t>
      </w:r>
      <w:r>
        <w:rPr>
          <w:rFonts w:ascii="Calibri" w:hAnsi="Calibri" w:eastAsia="Calibri" w:cs="Calibri"/>
          <w:i/>
          <w:iCs/>
          <w:color w:val="000000"/>
          <w:sz w:val="22"/>
          <w:szCs w:val="22"/>
        </w:rPr>
        <w:t xml:space="preserve">Fungal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,117-130.</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S, Sharon M, Dori-Bachash M, Maymon M, Belausov E, Maoz Y, Margalit O, Protasov A &amp; Mendel Z (2016) Symbiotic association of three fungal species throughout the life cycle of the ambrosia beetle </w:t>
      </w:r>
      <w:r>
        <w:rPr>
          <w:rFonts w:ascii="Calibri" w:hAnsi="Calibri" w:eastAsia="Calibri" w:cs="Calibri"/>
          <w:i/>
          <w:iCs/>
          <w:color w:val="000000"/>
          <w:sz w:val="22"/>
          <w:szCs w:val="22"/>
        </w:rPr>
        <w:t xml:space="preserve">Euwallacea </w:t>
      </w:r>
      <w:r>
        <w:rPr>
          <w:rFonts w:ascii="Calibri" w:hAnsi="Calibri" w:eastAsia="Calibri" w:cs="Calibri"/>
          <w:color w:val="000000"/>
          <w:sz w:val="22"/>
          <w:szCs w:val="22"/>
        </w:rPr>
        <w:t xml:space="preserve">nr.</w:t>
      </w:r>
      <w:r>
        <w:rPr>
          <w:rFonts w:ascii="Calibri" w:hAnsi="Calibri" w:eastAsia="Calibri" w:cs="Calibri"/>
          <w:i/>
          <w:iCs/>
          <w:color w:val="000000"/>
          <w:sz w:val="22"/>
          <w:szCs w:val="22"/>
        </w:rPr>
        <w:t xml:space="preserve"> fornicatus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Symbiosis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115-128.</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S, Sharon M, Maymon M, Mendel Z, Protasov A, Aoki T, Eskalen A &amp; O’Donnell K (2013)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sp. nov. - A symbiotic fungus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an invasive ambrosia beetle in Israel and California.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(6), 1595–1606. </w:t>
      </w:r>
      <w:hyperlink r:id="rId55466ac62a3343301" w:history="1">
        <w:r>
          <w:rPr>
            <w:rFonts w:ascii="Calibri" w:hAnsi="Calibri" w:eastAsia="Calibri" w:cs="Calibri"/>
            <w:color w:val="0000CC"/>
            <w:sz w:val="22"/>
            <w:szCs w:val="22"/>
            <w:u w:val="single"/>
          </w:rPr>
          <w:t xml:space="preserve">https://doi.org/10.3852/13-066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Gomez DF, Lin W, Gao L &amp; Li Y (2019) New host plant records for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(Eichhoff) species complex (Coleoptera: Curculionidae: Scolytinae) across its natural and introduced distribution.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338–340. </w:t>
      </w:r>
      <w:hyperlink r:id="rId33726ac62a3343391" w:history="1">
        <w:r>
          <w:rPr>
            <w:rFonts w:ascii="Calibri" w:hAnsi="Calibri" w:eastAsia="Calibri" w:cs="Calibri"/>
            <w:color w:val="0000CC"/>
            <w:sz w:val="22"/>
            <w:szCs w:val="22"/>
            <w:u w:val="single"/>
          </w:rPr>
          <w:t xml:space="preserve">https://doi.org/10.1016/j.aspen.2019.01.013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Grosman DM, Eskalen A &amp; Brownie C (2019) Evaluation of emamectin benzoate and propiconazole for management of a new invasive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and symbiotic fungi in California sycamores.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(3), 1267-1273. </w:t>
      </w:r>
      <w:hyperlink r:id="rId63466ac62a3343440" w:history="1">
        <w:r>
          <w:rPr>
            <w:rFonts w:ascii="Calibri" w:hAnsi="Calibri" w:eastAsia="Calibri" w:cs="Calibri"/>
            <w:color w:val="0000CC"/>
            <w:sz w:val="22"/>
            <w:szCs w:val="22"/>
            <w:u w:val="single"/>
          </w:rPr>
          <w:t xml:space="preserve">https://doi.org/10.1093/jee/toy423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Stelinski LL (2017) The ambrosia symbiosis: from evolutionary ecology to practical management.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285-303.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M &amp; Paine TD (2015) Effect of chipping and solarization on emergence and boring activity of a recently introduced ambrosia beetle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Coleoptera: Curculionidae: Scolytinae)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(4), 1852–1859. </w:t>
      </w:r>
      <w:hyperlink r:id="rId14986ac62a334352d" w:history="1">
        <w:r>
          <w:rPr>
            <w:rFonts w:ascii="Calibri" w:hAnsi="Calibri" w:eastAsia="Calibri" w:cs="Calibri"/>
            <w:color w:val="0000CC"/>
            <w:sz w:val="22"/>
            <w:szCs w:val="22"/>
            <w:u w:val="single"/>
          </w:rPr>
          <w:t xml:space="preserve">https://doi.org/10.1093/jee/tov169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Kasson MT, O’Donnell K, Rooney AP, Sink S, Ploetz R, Ploetz JN, Konkol JN, Carillo D, Freeman S, Mendel Z, Smith JE, Black A, Hulcr J, Bateman C, Black AW, Campbell PR, Geering AD, Dann EK, Eskalen A, Mohotti K, Short DP, Aoki T, Fenstermacher KA, Davis DD &amp; Geiser DM (2013) An inordinate fondness for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phylogenetic diversity of fusaria cultivated by ambrosia beetles in the genus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on avocado and other plant hosts.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147–157.</w:t>
      </w:r>
    </w:p>
    <w:p>
      <w:pPr>
        <w:widowControl w:val="on"/>
        <w:pBdr/>
        <w:spacing w:before="220" w:after="220" w:line="240" w:lineRule="auto"/>
        <w:ind w:left="0" w:right="0"/>
        <w:jc w:val="left"/>
      </w:pPr>
      <w:r>
        <w:rPr>
          <w:rFonts w:ascii="Calibri" w:hAnsi="Calibri" w:eastAsia="Calibri" w:cs="Calibri"/>
          <w:color w:val="000000"/>
          <w:sz w:val="22"/>
          <w:szCs w:val="22"/>
        </w:rPr>
        <w:t xml:space="preserve">Lynch S, Twizeyimana M, Wang D, Mayorquin J, Na F, Kayim M, Kasson MT, Thu PQ, Bateman C, Rugman-Jones P, Hulcr J, Stouthamer R &amp; Eskalen A (2016) Identification, pathogenicity, and abundance of </w:t>
      </w:r>
      <w:r>
        <w:rPr>
          <w:rFonts w:ascii="Calibri" w:hAnsi="Calibri" w:eastAsia="Calibri" w:cs="Calibri"/>
          <w:i/>
          <w:iCs/>
          <w:color w:val="000000"/>
          <w:sz w:val="22"/>
          <w:szCs w:val="22"/>
        </w:rPr>
        <w:t xml:space="preserve">Paracremonium pembeum</w:t>
      </w:r>
      <w:r>
        <w:rPr>
          <w:rFonts w:ascii="Calibri" w:hAnsi="Calibri" w:eastAsia="Calibri" w:cs="Calibri"/>
          <w:color w:val="000000"/>
          <w:sz w:val="22"/>
          <w:szCs w:val="22"/>
        </w:rPr>
        <w:t xml:space="preserve"> sp. nov. and </w:t>
      </w:r>
      <w:r>
        <w:rPr>
          <w:rFonts w:ascii="Calibri" w:hAnsi="Calibri" w:eastAsia="Calibri" w:cs="Calibri"/>
          <w:i/>
          <w:iCs/>
          <w:color w:val="000000"/>
          <w:sz w:val="22"/>
          <w:szCs w:val="22"/>
        </w:rPr>
        <w:t xml:space="preserve">Graphium euwallaceae</w:t>
      </w:r>
      <w:r>
        <w:rPr>
          <w:rFonts w:ascii="Calibri" w:hAnsi="Calibri" w:eastAsia="Calibri" w:cs="Calibri"/>
          <w:color w:val="000000"/>
          <w:sz w:val="22"/>
          <w:szCs w:val="22"/>
        </w:rPr>
        <w:t xml:space="preserve"> sp. nov. - two new mycangial fungal associates of the polyphagous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in California.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313-329</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w:t>
      </w:r>
      <w:hyperlink r:id="rId92426ac62a33436c4" w:history="1">
        <w:r>
          <w:rPr>
            <w:rFonts w:ascii="Calibri" w:hAnsi="Calibri" w:eastAsia="Calibri" w:cs="Calibri"/>
            <w:color w:val="0000CC"/>
            <w:sz w:val="22"/>
            <w:szCs w:val="22"/>
            <w:u w:val="single"/>
          </w:rPr>
          <w:t xml:space="preserve">https://doi.org/10.3852/15-063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Mendel Z, Lynch SC, Eskalen A, Protasov A, Maymon M &amp; Freeman S (2021) What determines host range and reproductive performance of an invasive ambrosia beetle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lessons from Israel and California. </w:t>
      </w:r>
      <w:r>
        <w:rPr>
          <w:rFonts w:ascii="Calibri" w:hAnsi="Calibri" w:eastAsia="Calibri" w:cs="Calibri"/>
          <w:i/>
          <w:iCs/>
          <w:color w:val="000000"/>
          <w:sz w:val="22"/>
          <w:szCs w:val="22"/>
        </w:rPr>
        <w:t xml:space="preserve">Frontiers in Forests and Global Change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654702. </w:t>
      </w:r>
      <w:hyperlink r:id="rId69126ac62a3343782" w:history="1">
        <w:r>
          <w:rPr>
            <w:rFonts w:ascii="Calibri" w:hAnsi="Calibri" w:eastAsia="Calibri" w:cs="Calibri"/>
            <w:color w:val="0000CC"/>
            <w:sz w:val="22"/>
            <w:szCs w:val="22"/>
            <w:u w:val="single"/>
          </w:rPr>
          <w:t xml:space="preserve">https://doi.org/10.3389/ffgc.2021.654702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Mendel Z, Protasov A, Maoz Y, Maymon M, Miller G, Elazar M &amp; Freeman S (2017) The role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Scolytinae) in the wilt syndrome of avocado trees in Israel. </w:t>
      </w:r>
      <w:r>
        <w:rPr>
          <w:rFonts w:ascii="Calibri" w:hAnsi="Calibri" w:eastAsia="Calibri" w:cs="Calibri"/>
          <w:i/>
          <w:iCs/>
          <w:color w:val="000000"/>
          <w:sz w:val="22"/>
          <w:szCs w:val="22"/>
        </w:rPr>
        <w:t xml:space="preserve">Phytoparasitica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341–359. </w:t>
      </w:r>
      <w:hyperlink r:id="rId84876ac62a334382c" w:history="1">
        <w:r>
          <w:rPr>
            <w:rFonts w:ascii="Calibri" w:hAnsi="Calibri" w:eastAsia="Calibri" w:cs="Calibri"/>
            <w:color w:val="0000CC"/>
            <w:sz w:val="22"/>
            <w:szCs w:val="22"/>
            <w:u w:val="single"/>
          </w:rPr>
          <w:t xml:space="preserve">https://doi.org/10.1007/s12600-017-0598-6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Mendel Z, Protasov A, Sharon M, Zveibil A, Yehuda SB, O’Donnell K, Rabaglia R, Wysoki M &amp; Freeman S (2012) An Asian ambrosia beetle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and its novel symbiotic fungus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 pose a serious threat to the Israeli avocado industry.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 235–238. </w:t>
      </w:r>
      <w:hyperlink r:id="rId64886ac62a33438f4" w:history="1">
        <w:r>
          <w:rPr>
            <w:rFonts w:ascii="Calibri" w:hAnsi="Calibri" w:eastAsia="Calibri" w:cs="Calibri"/>
            <w:color w:val="0000CC"/>
            <w:sz w:val="22"/>
            <w:szCs w:val="22"/>
            <w:u w:val="single"/>
          </w:rPr>
          <w:t xml:space="preserve">https://doi.org/10.1007/s12600-012-0223-7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O'Donnell K, Al-Hatmi AMS, Aoki T, Brankovics B, Cano-Lira JF, Coleman JJ, de Hoog GS, Di Pietro A, Frandsen RJN, Geiser DM, Gibas CFC, Guarro J, Kim HS, Kistler HC, Laraba I, Leslie JF, López-Berges MS, Lysøe E, Meis JF, Monod M, Proctor RH, Rep M, Ruiz-Roldán C, Šišić A, Stajich JE, Steenkamp ET, Summerell BA, van der Lee TAJ, van Diepeningen AD, Verweij PE, Waalwijk C, Ward TJ, Wickes BL, Wiederhold NP, Wingfield MJ, Zhang N, &amp; Zhang SX (2020) No to </w:t>
      </w:r>
      <w:r>
        <w:rPr>
          <w:rFonts w:ascii="Calibri" w:hAnsi="Calibri" w:eastAsia="Calibri" w:cs="Calibri"/>
          <w:i/>
          <w:iCs/>
          <w:color w:val="000000"/>
          <w:sz w:val="22"/>
          <w:szCs w:val="22"/>
        </w:rPr>
        <w:t xml:space="preserve">Neocosmospora</w:t>
      </w:r>
      <w:r>
        <w:rPr>
          <w:rFonts w:ascii="Calibri" w:hAnsi="Calibri" w:eastAsia="Calibri" w:cs="Calibri"/>
          <w:color w:val="000000"/>
          <w:sz w:val="22"/>
          <w:szCs w:val="22"/>
        </w:rPr>
        <w:t xml:space="preserve">: phylogenomic and practical reasons for continued inclusion of the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species complex in the genus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mSphere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e00810-20. </w:t>
      </w:r>
      <w:hyperlink r:id="rId60276ac62a33439d7" w:history="1">
        <w:r>
          <w:rPr>
            <w:rFonts w:ascii="Calibri" w:hAnsi="Calibri" w:eastAsia="Calibri" w:cs="Calibri"/>
            <w:color w:val="0000CC"/>
            <w:sz w:val="22"/>
            <w:szCs w:val="22"/>
            <w:u w:val="single"/>
          </w:rPr>
          <w:t xml:space="preserve">https://doi.org/10.1128/mSphere.00810-20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O’Donnell K, Sink S, Libeskind-Hadas R, Hulcr J, Kasson M &amp; Ploetz R (2015) Discordant phylogenies suggest repeated host shifts in the </w:t>
      </w:r>
      <w:r>
        <w:rPr>
          <w:rFonts w:ascii="Calibri" w:hAnsi="Calibri" w:eastAsia="Calibri" w:cs="Calibri"/>
          <w:i/>
          <w:iCs/>
          <w:color w:val="000000"/>
          <w:sz w:val="22"/>
          <w:szCs w:val="22"/>
        </w:rPr>
        <w:t xml:space="preserve">Fusarium euwallacea</w:t>
      </w:r>
      <w:r>
        <w:rPr>
          <w:rFonts w:ascii="Calibri" w:hAnsi="Calibri" w:eastAsia="Calibri" w:cs="Calibri"/>
          <w:color w:val="000000"/>
          <w:sz w:val="22"/>
          <w:szCs w:val="22"/>
        </w:rPr>
        <w:t xml:space="preserve"> ambrosia beetle mutualism.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277–290. </w:t>
      </w:r>
      <w:hyperlink r:id="rId33516ac62a3343a6c" w:history="1">
        <w:r>
          <w:rPr>
            <w:rFonts w:ascii="Calibri" w:hAnsi="Calibri" w:eastAsia="Calibri" w:cs="Calibri"/>
            <w:color w:val="0000CC"/>
            <w:sz w:val="22"/>
            <w:szCs w:val="22"/>
            <w:u w:val="single"/>
          </w:rPr>
          <w:t xml:space="preserve">https://doi: 10.1016/j.fgb.2014.10.014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O’Donnell K, Sutton DA, Fothergill A, McCarthy D, Rinaldi MG, Brandt ME, Zhang N &amp; Geiser DM (2008) Molecular phylogenetic diversity, multilocus haplotype nomenclature, and in vitro antifungal resistance within the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Journal of Clinical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2477-2490.</w:t>
      </w:r>
    </w:p>
    <w:p>
      <w:pPr>
        <w:widowControl w:val="on"/>
        <w:pBdr/>
        <w:spacing w:before="220" w:after="220" w:line="240" w:lineRule="auto"/>
        <w:ind w:left="0" w:right="0"/>
        <w:jc w:val="left"/>
      </w:pPr>
      <w:r>
        <w:rPr>
          <w:rFonts w:ascii="Calibri" w:hAnsi="Calibri" w:eastAsia="Calibri" w:cs="Calibri"/>
          <w:color w:val="000000"/>
          <w:sz w:val="22"/>
          <w:szCs w:val="22"/>
        </w:rPr>
        <w:t xml:space="preserve">O’Donnell K, Whitaker BK, Laraba I, Proctor RH, Brown DW, Broders K, Kim H-S, McCormick SP, Busman M, Aoki T, Torres-Cruz TJ, &amp; Geiser DM (2022) DNA sequence-based identification of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A work in progress.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(6), 1597-1609. </w:t>
      </w:r>
      <w:hyperlink r:id="rId41186ac62a3343b7b" w:history="1">
        <w:r>
          <w:rPr>
            <w:rFonts w:ascii="Calibri" w:hAnsi="Calibri" w:eastAsia="Calibri" w:cs="Calibri"/>
            <w:color w:val="0000CC"/>
            <w:sz w:val="22"/>
            <w:szCs w:val="22"/>
            <w:u w:val="single"/>
          </w:rPr>
          <w:t xml:space="preserve">https://doi.org/10.1094/PDIS-09-21-2035-SR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Paap T, de Beer ZW, Migliorini D, Nel WJ &amp; Wingfield MJ (2018) The polyphagous shot hole borer (PSHB) and its fungal symbiont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A new invasion in South Africa.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231–237. </w:t>
      </w:r>
      <w:hyperlink r:id="rId61716ac62a3343c0c" w:history="1">
        <w:r>
          <w:rPr>
            <w:rFonts w:ascii="Calibri" w:hAnsi="Calibri" w:eastAsia="Calibri" w:cs="Calibri"/>
            <w:color w:val="0000CC"/>
            <w:sz w:val="22"/>
            <w:szCs w:val="22"/>
            <w:u w:val="single"/>
          </w:rPr>
          <w:t xml:space="preserve">https://doi.org/10.1007/s13313-018-0545-0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Paap T, Wingfield MJ, de Beer ZW &amp; Roets F (2020) Lessons from a major pest invasion: The polyphagous shot hole borer in South Africa. </w:t>
      </w:r>
      <w:r>
        <w:rPr>
          <w:rFonts w:ascii="Calibri" w:hAnsi="Calibri" w:eastAsia="Calibri" w:cs="Calibri"/>
          <w:i/>
          <w:iCs/>
          <w:color w:val="000000"/>
          <w:sz w:val="22"/>
          <w:szCs w:val="22"/>
        </w:rPr>
        <w:t xml:space="preserve">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(11/12), 10–13. </w:t>
      </w:r>
      <w:hyperlink r:id="rId71116ac62a3343c7e" w:history="1">
        <w:r>
          <w:rPr>
            <w:rFonts w:ascii="Calibri" w:hAnsi="Calibri" w:eastAsia="Calibri" w:cs="Calibri"/>
            <w:color w:val="0000CC"/>
            <w:sz w:val="22"/>
            <w:szCs w:val="22"/>
            <w:u w:val="single"/>
          </w:rPr>
          <w:t xml:space="preserve">https://doi.org/10.17159/sajs.2020/8757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Rugman-Jones PF, Au M, Ebrahimi V, Eskalen A, Gillett CPDT, Honsberger D, Husein D, Wright MG, Yousuf F, &amp; Stouthamer R (2020) One becomes two: Second species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Scolytinae) species complex is established on two Hawaiian Islands.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e9987. </w:t>
      </w:r>
      <w:hyperlink r:id="rId79686ac62a3343d10" w:history="1">
        <w:r>
          <w:rPr>
            <w:rFonts w:ascii="Calibri" w:hAnsi="Calibri" w:eastAsia="Calibri" w:cs="Calibri"/>
            <w:color w:val="0000CC"/>
            <w:sz w:val="22"/>
            <w:szCs w:val="22"/>
            <w:u w:val="single"/>
          </w:rPr>
          <w:t xml:space="preserve">https://doi.org/10.7717/peerj.9987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Schuler H, Witkowski R, van de Vossenberg B, Hoppe B, Mittelbach M, Bukovinszki T, Schwembacher S, van de Meulengraaf B, Lange U, Rode S, Andriolo A, Bełka M, Mazur A &amp; Battisti A (2022) Recent invasion and eradication of two members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(Coleoptera: Curculionidae: Scolytinae) from tropical greenhouses in Europe.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299-307. </w:t>
      </w:r>
      <w:hyperlink r:id="rId21506ac62a3343da1" w:history="1">
        <w:r>
          <w:rPr>
            <w:rFonts w:ascii="Calibri" w:hAnsi="Calibri" w:eastAsia="Calibri" w:cs="Calibri"/>
            <w:color w:val="0000CC"/>
            <w:sz w:val="22"/>
            <w:szCs w:val="22"/>
            <w:u w:val="single"/>
          </w:rPr>
          <w:t xml:space="preserve">https://doi.org/10.1007/s10530-022-02929-w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Short DP, O'Donnell K, Stajich JE, Hulcr J, Kijimoto T, Berger MC, Macias AM, Spahr EJ, Bateman CC, Eskalen A, Lynch SC, Cognato AI, Cooperband MF &amp; Kasson MT (2017) PCR multiplexes discriminate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symbionts of invasive </w:t>
      </w:r>
      <w:r>
        <w:rPr>
          <w:rFonts w:ascii="Calibri" w:hAnsi="Calibri" w:eastAsia="Calibri" w:cs="Calibri"/>
          <w:i/>
          <w:iCs/>
          <w:color w:val="000000"/>
          <w:sz w:val="22"/>
          <w:szCs w:val="22"/>
        </w:rPr>
        <w:t xml:space="preserve">Euwallacea </w:t>
      </w:r>
      <w:r>
        <w:rPr>
          <w:rFonts w:ascii="Calibri" w:hAnsi="Calibri" w:eastAsia="Calibri" w:cs="Calibri"/>
          <w:color w:val="000000"/>
          <w:sz w:val="22"/>
          <w:szCs w:val="22"/>
        </w:rPr>
        <w:t xml:space="preserve">ambrosia beetles that inflict damage on numerous tree species throughout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233–240. </w:t>
      </w:r>
      <w:hyperlink r:id="rId68966ac62a3343e50" w:history="1">
        <w:r>
          <w:rPr>
            <w:rFonts w:ascii="Calibri" w:hAnsi="Calibri" w:eastAsia="Calibri" w:cs="Calibri"/>
            <w:color w:val="0000CC"/>
            <w:sz w:val="22"/>
            <w:szCs w:val="22"/>
            <w:u w:val="single"/>
          </w:rPr>
          <w:t xml:space="preserve">https://doi.org/10.1094/PDIS-07-16-1046-RE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Gomez DF, Beaver RA, Hulcr J &amp; Cognato AI (2019) Reassessment of the species in the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Scolytinae) complex after the rediscovery of the ‘lost’ type specimen.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(261), 1–11. </w:t>
      </w:r>
      <w:hyperlink r:id="rId39826ac62a3343eff" w:history="1">
        <w:r>
          <w:rPr>
            <w:rFonts w:ascii="Calibri" w:hAnsi="Calibri" w:eastAsia="Calibri" w:cs="Calibri"/>
            <w:color w:val="0000CC"/>
            <w:sz w:val="22"/>
            <w:szCs w:val="22"/>
            <w:u w:val="single"/>
          </w:rPr>
          <w:t xml:space="preserve">https://doi.org/10.3390/insects10090261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&amp; Hulcr J (2015) </w:t>
      </w:r>
      <w:r>
        <w:rPr>
          <w:rFonts w:ascii="Calibri" w:hAnsi="Calibri" w:eastAsia="Calibri" w:cs="Calibri"/>
          <w:i/>
          <w:iCs/>
          <w:color w:val="000000"/>
          <w:sz w:val="22"/>
          <w:szCs w:val="22"/>
        </w:rPr>
        <w:t xml:space="preserve">Scolytus</w:t>
      </w:r>
      <w:r>
        <w:rPr>
          <w:rFonts w:ascii="Calibri" w:hAnsi="Calibri" w:eastAsia="Calibri" w:cs="Calibri"/>
          <w:color w:val="000000"/>
          <w:sz w:val="22"/>
          <w:szCs w:val="22"/>
        </w:rPr>
        <w:t xml:space="preserve"> and other economically important bark and ambrosia beetles. In FE Vega &amp; RW Hofstetter (eds.) </w:t>
      </w:r>
      <w:r>
        <w:rPr>
          <w:rFonts w:ascii="Calibri" w:hAnsi="Calibri" w:eastAsia="Calibri" w:cs="Calibri"/>
          <w:i/>
          <w:iCs/>
          <w:color w:val="000000"/>
          <w:sz w:val="22"/>
          <w:szCs w:val="22"/>
        </w:rPr>
        <w:t xml:space="preserve">Bark Beetles: Biology and Ecology of Native and Invasive Species</w:t>
      </w:r>
      <w:r>
        <w:rPr>
          <w:rFonts w:ascii="Calibri" w:hAnsi="Calibri" w:eastAsia="Calibri" w:cs="Calibri"/>
          <w:color w:val="000000"/>
          <w:sz w:val="22"/>
          <w:szCs w:val="22"/>
        </w:rPr>
        <w:t xml:space="preserve"> (pp. 495–531). Academic Press. </w:t>
      </w:r>
      <w:hyperlink r:id="rId97886ac62a3343f6f" w:history="1">
        <w:r>
          <w:rPr>
            <w:rFonts w:ascii="Calibri" w:hAnsi="Calibri" w:eastAsia="Calibri" w:cs="Calibri"/>
            <w:color w:val="0000CC"/>
            <w:sz w:val="22"/>
            <w:szCs w:val="22"/>
            <w:u w:val="single"/>
          </w:rPr>
          <w:t xml:space="preserve">https://doi.org/10.1016/B978-0-12-417156-5.00012-5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w:t>
      </w:r>
      <w:hyperlink r:id="rId65286ac62a3343fe4" w:history="1">
        <w:r>
          <w:rPr>
            <w:rFonts w:ascii="Calibri" w:hAnsi="Calibri" w:eastAsia="Calibri" w:cs="Calibri"/>
            <w:color w:val="0000CC"/>
            <w:sz w:val="22"/>
            <w:szCs w:val="22"/>
            <w:u w:val="single"/>
          </w:rPr>
          <w:t xml:space="preserve">https://www.cabidigitallibrary.org/doi/10.1079/cabicompendium.18360453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Stanley Freeman, ARO, The Volcani Institute, Rison LeZion, Israel.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EPPO datasheets on pests recommended for regulation. Available online. </w:t>
      </w:r>
      <w:hyperlink r:id="rId13486ac62a334409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0207678" name="name27306ac62a334413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846ac62a334413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61120">
    <w:multiLevelType w:val="hybridMultilevel"/>
    <w:lvl w:ilvl="0" w:tplc="66880250">
      <w:start w:val="1"/>
      <w:numFmt w:val="decimal"/>
      <w:lvlText w:val="%1."/>
      <w:lvlJc w:val="left"/>
      <w:pPr>
        <w:ind w:left="720" w:hanging="360"/>
      </w:pPr>
    </w:lvl>
    <w:lvl w:ilvl="1" w:tplc="66880250" w:tentative="1">
      <w:start w:val="1"/>
      <w:numFmt w:val="lowerLetter"/>
      <w:lvlText w:val="%2."/>
      <w:lvlJc w:val="left"/>
      <w:pPr>
        <w:ind w:left="1440" w:hanging="360"/>
      </w:pPr>
    </w:lvl>
    <w:lvl w:ilvl="2" w:tplc="66880250" w:tentative="1">
      <w:start w:val="1"/>
      <w:numFmt w:val="lowerRoman"/>
      <w:lvlText w:val="%3."/>
      <w:lvlJc w:val="right"/>
      <w:pPr>
        <w:ind w:left="2160" w:hanging="180"/>
      </w:pPr>
    </w:lvl>
    <w:lvl w:ilvl="3" w:tplc="66880250" w:tentative="1">
      <w:start w:val="1"/>
      <w:numFmt w:val="decimal"/>
      <w:lvlText w:val="%4."/>
      <w:lvlJc w:val="left"/>
      <w:pPr>
        <w:ind w:left="2880" w:hanging="360"/>
      </w:pPr>
    </w:lvl>
    <w:lvl w:ilvl="4" w:tplc="66880250" w:tentative="1">
      <w:start w:val="1"/>
      <w:numFmt w:val="lowerLetter"/>
      <w:lvlText w:val="%5."/>
      <w:lvlJc w:val="left"/>
      <w:pPr>
        <w:ind w:left="3600" w:hanging="360"/>
      </w:pPr>
    </w:lvl>
    <w:lvl w:ilvl="5" w:tplc="66880250" w:tentative="1">
      <w:start w:val="1"/>
      <w:numFmt w:val="lowerRoman"/>
      <w:lvlText w:val="%6."/>
      <w:lvlJc w:val="right"/>
      <w:pPr>
        <w:ind w:left="4320" w:hanging="180"/>
      </w:pPr>
    </w:lvl>
    <w:lvl w:ilvl="6" w:tplc="66880250" w:tentative="1">
      <w:start w:val="1"/>
      <w:numFmt w:val="decimal"/>
      <w:lvlText w:val="%7."/>
      <w:lvlJc w:val="left"/>
      <w:pPr>
        <w:ind w:left="5040" w:hanging="360"/>
      </w:pPr>
    </w:lvl>
    <w:lvl w:ilvl="7" w:tplc="66880250" w:tentative="1">
      <w:start w:val="1"/>
      <w:numFmt w:val="lowerLetter"/>
      <w:lvlText w:val="%8."/>
      <w:lvlJc w:val="left"/>
      <w:pPr>
        <w:ind w:left="5760" w:hanging="360"/>
      </w:pPr>
    </w:lvl>
    <w:lvl w:ilvl="8" w:tplc="66880250" w:tentative="1">
      <w:start w:val="1"/>
      <w:numFmt w:val="lowerRoman"/>
      <w:lvlText w:val="%9."/>
      <w:lvlJc w:val="right"/>
      <w:pPr>
        <w:ind w:left="6480" w:hanging="180"/>
      </w:pPr>
    </w:lvl>
  </w:abstractNum>
  <w:abstractNum w:abstractNumId="92861119">
    <w:multiLevelType w:val="hybridMultilevel"/>
    <w:lvl w:ilvl="0" w:tplc="87707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61119">
    <w:abstractNumId w:val="92861119"/>
  </w:num>
  <w:num w:numId="92861120">
    <w:abstractNumId w:val="9286112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0042157" Type="http://schemas.microsoft.com/office/2011/relationships/commentsExtended" Target="commentsExtended.xml"/><Relationship Id="rId281145471" Type="http://schemas.microsoft.com/office/2011/relationships/people" Target="people.xml"/><Relationship Id="rId30786ac62a333fdb1" Type="http://schemas.openxmlformats.org/officeDocument/2006/relationships/hyperlink" Target="https://gd.eppo.int/taxon/FUSAEW/" TargetMode="External"/><Relationship Id="rId58066ac62a333fe1a" Type="http://schemas.openxmlformats.org/officeDocument/2006/relationships/hyperlink" Target="https://gd.eppo.int/taxon/FUSAEW/categorization" TargetMode="External"/><Relationship Id="rId44146ac62a3342cf5" Type="http://schemas.openxmlformats.org/officeDocument/2006/relationships/hyperlink" Target="https://doi.org/10.7717/peerj.2141" TargetMode="External"/><Relationship Id="rId10516ac62a3342d8d" Type="http://schemas.openxmlformats.org/officeDocument/2006/relationships/hyperlink" Target="https://doi.org/10.11646/zootaxa.5325.2.10" TargetMode="External"/><Relationship Id="rId71886ac62a3342e40" Type="http://schemas.openxmlformats.org/officeDocument/2006/relationships/hyperlink" Target="https://doi.org/10.1093/ee/nvaa103" TargetMode="External"/><Relationship Id="rId49266ac62a3342ee1" Type="http://schemas.openxmlformats.org/officeDocument/2006/relationships/hyperlink" Target="https://doi.org/10.1016/j.simyco.2021.100116" TargetMode="External"/><Relationship Id="rId28966ac62a3342f72" Type="http://schemas.openxmlformats.org/officeDocument/2006/relationships/hyperlink" Target="https://doi.org/10.1111/ppa.13600" TargetMode="External"/><Relationship Id="rId37376ac62a3342fe3" Type="http://schemas.openxmlformats.org/officeDocument/2006/relationships/hyperlink" Target="https://pra.eppo.int/pra/4880c445-9ca7-485a-9e3a-edde73e472fa" TargetMode="External"/><Relationship Id="rId33466ac62a3343037" Type="http://schemas.openxmlformats.org/officeDocument/2006/relationships/hyperlink" Target="https://gd.eppo.int/taxon/EUWAWH" TargetMode="External"/><Relationship Id="rId53386ac62a33430e7" Type="http://schemas.openxmlformats.org/officeDocument/2006/relationships/hyperlink" Target="https://doi.org/10.1094/PDIS-03-12-0276-PDN" TargetMode="External"/><Relationship Id="rId43226ac62a3343159" Type="http://schemas.openxmlformats.org/officeDocument/2006/relationships/hyperlink" Target="https://doi.org/10.1094/PDIS-11-12-1026-RE" TargetMode="External"/><Relationship Id="rId55466ac62a3343301" Type="http://schemas.openxmlformats.org/officeDocument/2006/relationships/hyperlink" Target="https://doi.org/10.3852/13-066" TargetMode="External"/><Relationship Id="rId33726ac62a3343391" Type="http://schemas.openxmlformats.org/officeDocument/2006/relationships/hyperlink" Target="https://doi.org/10.1016/j.aspen.2019.01.013" TargetMode="External"/><Relationship Id="rId63466ac62a3343440" Type="http://schemas.openxmlformats.org/officeDocument/2006/relationships/hyperlink" Target="https://doi.org/10.1093/jee/toy423" TargetMode="External"/><Relationship Id="rId14986ac62a334352d" Type="http://schemas.openxmlformats.org/officeDocument/2006/relationships/hyperlink" Target="https://doi.org/10.1093/jee/tov169" TargetMode="External"/><Relationship Id="rId92426ac62a33436c4" Type="http://schemas.openxmlformats.org/officeDocument/2006/relationships/hyperlink" Target="https://doi.org/10.3852/15-063" TargetMode="External"/><Relationship Id="rId69126ac62a3343782" Type="http://schemas.openxmlformats.org/officeDocument/2006/relationships/hyperlink" Target="https://doi.org/10.3389/ffgc.2021.654702" TargetMode="External"/><Relationship Id="rId84876ac62a334382c" Type="http://schemas.openxmlformats.org/officeDocument/2006/relationships/hyperlink" Target="https://doi.org/10.1007/s12600-017-0598-6" TargetMode="External"/><Relationship Id="rId64886ac62a33438f4" Type="http://schemas.openxmlformats.org/officeDocument/2006/relationships/hyperlink" Target="https://doi.org/10.1007/s12600-012-0223-7" TargetMode="External"/><Relationship Id="rId60276ac62a33439d7" Type="http://schemas.openxmlformats.org/officeDocument/2006/relationships/hyperlink" Target="https://doi.org/10.1128/mSphere.00810-20" TargetMode="External"/><Relationship Id="rId33516ac62a3343a6c" Type="http://schemas.openxmlformats.org/officeDocument/2006/relationships/hyperlink" Target="https://doi:%2010.1016/j.fgb.2014.10.014" TargetMode="External"/><Relationship Id="rId41186ac62a3343b7b" Type="http://schemas.openxmlformats.org/officeDocument/2006/relationships/hyperlink" Target="https://doi.org/10.1094/PDIS-09-21-2035-SR" TargetMode="External"/><Relationship Id="rId61716ac62a3343c0c" Type="http://schemas.openxmlformats.org/officeDocument/2006/relationships/hyperlink" Target="https://doi.org/10.1007/s13313-018-0545-0" TargetMode="External"/><Relationship Id="rId71116ac62a3343c7e" Type="http://schemas.openxmlformats.org/officeDocument/2006/relationships/hyperlink" Target="https://doi.org/10.17159/sajs.2020/8757" TargetMode="External"/><Relationship Id="rId79686ac62a3343d10" Type="http://schemas.openxmlformats.org/officeDocument/2006/relationships/hyperlink" Target="https://doi.org/10.7717/peerj.9987" TargetMode="External"/><Relationship Id="rId21506ac62a3343da1" Type="http://schemas.openxmlformats.org/officeDocument/2006/relationships/hyperlink" Target="https://doi.org/10.1007/s10530-022-02929-w" TargetMode="External"/><Relationship Id="rId68966ac62a3343e50" Type="http://schemas.openxmlformats.org/officeDocument/2006/relationships/hyperlink" Target="https://doi.org/10.1094/PDIS-07-16-1046-RE" TargetMode="External"/><Relationship Id="rId39826ac62a3343eff" Type="http://schemas.openxmlformats.org/officeDocument/2006/relationships/hyperlink" Target="https://doi.org/10.3390/insects10090261" TargetMode="External"/><Relationship Id="rId97886ac62a3343f6f" Type="http://schemas.openxmlformats.org/officeDocument/2006/relationships/hyperlink" Target="https://doi.org/10.1016/B978-0-12-417156-5.00012-5" TargetMode="External"/><Relationship Id="rId65286ac62a3343fe4" Type="http://schemas.openxmlformats.org/officeDocument/2006/relationships/hyperlink" Target="https://www.cabidigitallibrary.org/doi/10.1079/cabicompendium.18360453" TargetMode="External"/><Relationship Id="rId13486ac62a334409b" Type="http://schemas.openxmlformats.org/officeDocument/2006/relationships/hyperlink" Target="https://gd.eppo.int" TargetMode="External"/><Relationship Id="rId13736ac62a3341f5c" Type="http://schemas.openxmlformats.org/officeDocument/2006/relationships/image" Target="media/imgrId13736ac62a3341f5c.jpg"/><Relationship Id="rId26846ac62a3344134" Type="http://schemas.openxmlformats.org/officeDocument/2006/relationships/image" Target="media/imgrId26846ac62a334413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