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Ambrosia confertiflora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Ambrosia confertiflora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de Candolle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Campanulids: Asterales: Asteraceae: Asteroideae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Franseria confertiflora</w:t>
            </w:r>
            <w:r>
              <w:rPr>
                <w:rFonts w:ascii="Calibri" w:hAnsi="Calibri" w:eastAsia="Calibri" w:cs="Calibri"/>
                <w:color w:val="000000"/>
                <w:position w:val="-3"/>
                <w:sz w:val="22"/>
                <w:szCs w:val="22"/>
              </w:rPr>
              <w:t xml:space="preserve"> (de Candolle) Rydberg, </w:t>
            </w:r>
            <w:r>
              <w:rPr>
                <w:rFonts w:ascii="Calibri" w:hAnsi="Calibri" w:eastAsia="Calibri" w:cs="Calibri"/>
                <w:i/>
                <w:iCs/>
                <w:color w:val="000000"/>
                <w:position w:val="-3"/>
                <w:sz w:val="22"/>
                <w:szCs w:val="22"/>
              </w:rPr>
              <w:t xml:space="preserve">Franseria strigulosa</w:t>
            </w:r>
            <w:r>
              <w:rPr>
                <w:rFonts w:ascii="Calibri" w:hAnsi="Calibri" w:eastAsia="Calibri" w:cs="Calibri"/>
                <w:color w:val="000000"/>
                <w:position w:val="-3"/>
                <w:sz w:val="22"/>
                <w:szCs w:val="22"/>
              </w:rPr>
              <w:t xml:space="preserve"> Rydberg, </w:t>
            </w:r>
            <w:r>
              <w:rPr>
                <w:rFonts w:ascii="Calibri" w:hAnsi="Calibri" w:eastAsia="Calibri" w:cs="Calibri"/>
                <w:i/>
                <w:iCs/>
                <w:color w:val="000000"/>
                <w:position w:val="-3"/>
                <w:sz w:val="22"/>
                <w:szCs w:val="22"/>
              </w:rPr>
              <w:t xml:space="preserve">Franseria tenuifolia</w:t>
            </w:r>
            <w:r>
              <w:rPr>
                <w:rFonts w:ascii="Calibri" w:hAnsi="Calibri" w:eastAsia="Calibri" w:cs="Calibri"/>
                <w:color w:val="000000"/>
                <w:position w:val="-3"/>
                <w:sz w:val="22"/>
                <w:szCs w:val="22"/>
              </w:rPr>
              <w:t xml:space="preserve"> Harvey &amp; A. Gray, </w:t>
            </w:r>
            <w:r>
              <w:rPr>
                <w:rFonts w:ascii="Calibri" w:hAnsi="Calibri" w:eastAsia="Calibri" w:cs="Calibri"/>
                <w:i/>
                <w:iCs/>
                <w:color w:val="000000"/>
                <w:position w:val="-3"/>
                <w:sz w:val="22"/>
                <w:szCs w:val="22"/>
              </w:rPr>
              <w:t xml:space="preserve">Gaertneria tenuifolia</w:t>
            </w:r>
            <w:r>
              <w:rPr>
                <w:rFonts w:ascii="Calibri" w:hAnsi="Calibri" w:eastAsia="Calibri" w:cs="Calibri"/>
                <w:color w:val="000000"/>
                <w:position w:val="-3"/>
                <w:sz w:val="22"/>
                <w:szCs w:val="22"/>
              </w:rPr>
              <w:t xml:space="preserve"> Kuntze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burr ragweed, slimleaf bursage (US), weak leaf burr ragweed</w:t>
            </w:r>
            <w:hyperlink r:id="rId76016acfd3ed6494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80426acfd3ed6499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FRSCO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2819118" name="name47056acfd3ed650ce" descr="5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47.jpg"/>
                          <pic:cNvPicPr/>
                        </pic:nvPicPr>
                        <pic:blipFill>
                          <a:blip r:embed="rId95586acfd3ed650cc" cstate="print"/>
                          <a:stretch>
                            <a:fillRect/>
                          </a:stretch>
                        </pic:blipFill>
                        <pic:spPr>
                          <a:xfrm>
                            <a:off x="0" y="0"/>
                            <a:ext cx="2160000" cy="1281600"/>
                          </a:xfrm>
                          <a:prstGeom prst="rect">
                            <a:avLst/>
                          </a:prstGeom>
                          <a:ln w="0">
                            <a:noFill/>
                          </a:ln>
                        </pic:spPr>
                      </pic:pic>
                    </a:graphicData>
                  </a:graphic>
                </wp:inline>
              </w:drawing>
            </w:r>
            <w:hyperlink r:id="rId92266acfd3ed651fe"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History of introduction and spread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is established and invasive in Israel (Dufour-Dror, 2012; see also Dufour-Dror &amp; Yaacoby, 2013; Dufour-Dror, 2016; Dufour-Dror &amp; Fragman-Sapir, 2018).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was first recorded in Israel near to the town of Zichron Yakov in 1990.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began to spread in the Shechem (Nablus) area in central Samaria during the mid-1990s. It is now widespread in Samaria (the northern part of the West Bank), especially along roads and in cultivated areas, but also in nature reserves such as Wadi Qana. The plant spread westwards and is now present in the Heffer Valley area (Sharon region), where 480 ha of riverbanks along the Alexander River are already heavily infested. The plant also spread eastward along Wadi Tirza and has reached the Northern Jordan Valley. Additional foci were recently discovered along the Yarkon River, on the Carmel Mount, in the Haifa region, in the southern part of the Yizre’el Valley in Lower Galilee, in the south near Gadera and in the Ashdod area (Israel Ministry of Environmental Protection, 2013).</w:t>
      </w:r>
    </w:p>
    <w:p>
      <w:pPr>
        <w:widowControl w:val="on"/>
        <w:pBdr/>
        <w:spacing w:before="220" w:after="220" w:line="240" w:lineRule="auto"/>
        <w:ind w:left="0" w:right="0"/>
        <w:jc w:val="both"/>
      </w:pPr>
      <w:r>
        <w:rPr>
          <w:rFonts w:ascii="Calibri" w:hAnsi="Calibri" w:eastAsia="Calibri" w:cs="Calibri"/>
          <w:color w:val="000000"/>
          <w:sz w:val="22"/>
          <w:szCs w:val="22"/>
        </w:rPr>
        <w:t xml:space="preserve">Between the late 1990s and the early 2000s, a massive invasion began along the bank of the Alexander River, apparently originating from the area of Sechem (Nablus) in Central Samaria (West Bank). During the 2000s, a heavy infestation was recorded along the Wadi Tirza, flowing from the Sechem area to the east in the Jordan Valley. Since then new occurrences have been recorded along the Jordan Valley, in Lower Galilee (few sites) and in 2017 in the Negev Desert, south of Beer-Sheva.</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the species was introduced into Queensland in 1950 and is restricted to small colonies in the Western Darling Downs and the Burnett Pastoral District. In New South Wales, populations occur on the Far Western and North-Western Plains and on the Central Western Slopes, while in South Australia the species is only recorded in the surroundings of Adelaide (Parsons &amp; Cuthbertson, 2001). There are very few records, and since Parsons &amp; Cuthbertson (2001) the plant has been mentioned by Richardson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but apparently it does not spread vigorously in this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Distribution</w:t>
      </w:r>
    </w:p>
    <w:p>
      <w:r>
        <w:drawing>
          <wp:inline distT="0" distB="0" distL="0" distR="0">
            <wp:extent cx="6120000" cy="3067200"/>
            <wp:docPr id="74069506" name="name94516acfd3ed66114" descr="FRSC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SCO_distribution_map.jpg"/>
                    <pic:cNvPicPr/>
                  </pic:nvPicPr>
                  <pic:blipFill>
                    <a:blip r:embed="rId73756acfd3ed6611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Israel</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Israel</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Colorado, Hawaii, Kansas, Nevada, New Mexico, Oklahoma, Tennessee, Texas, Utah)</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Puerto Rico</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Erect perennial herb (hemicryptophyte).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confertiflora </w:t>
      </w:r>
      <w:r>
        <w:rPr>
          <w:rFonts w:ascii="Calibri" w:hAnsi="Calibri" w:eastAsia="Calibri" w:cs="Calibri"/>
          <w:color w:val="000000"/>
          <w:sz w:val="22"/>
          <w:szCs w:val="22"/>
        </w:rPr>
        <w:t xml:space="preserve">is a perennial species 20–80 (—150+) cm in height. Stems erect leaves opposite at the base, alternating higher up with petioles 10–35 mm; lanceolate to ovate in outline, 40–85(—150) 9 20–35(—55) mm overall, laciniate 2–4-pinnately lobed (lobes </w:t>
      </w:r>
      <w:r>
        <w:rPr>
          <w:rFonts w:ascii="Calibri" w:hAnsi="Calibri" w:eastAsia="Calibri" w:cs="Calibri"/>
          <w:color w:val="000000"/>
          <w:sz w:val="22"/>
          <w:szCs w:val="22"/>
          <w:u w:val="single"/>
        </w:rPr>
        <w:t xml:space="preserve">+</w:t>
      </w:r>
      <w:r>
        <w:rPr>
          <w:rFonts w:ascii="Calibri" w:hAnsi="Calibri" w:eastAsia="Calibri" w:cs="Calibri"/>
          <w:color w:val="000000"/>
          <w:sz w:val="22"/>
          <w:szCs w:val="22"/>
        </w:rPr>
        <w:t xml:space="preserve"> lanceolate); bases cuneate to truncate, ultimate margins entire, abaxial and adaxial faces strigillose to sericeous (often grayish) and gland-dotted. Pistillate heads clustered, proximal to staminates; florets 1(—2). Staminate heads: peduncles 0.5–2 mm; involucres cup-shaped, 1.5–3+ mm in diameter, strigillose; florets 5–20+. Fruit a spiny bur, pyramidal to pyriform, 1–2 mm long, strigillose to pilosulous, spines (1—)5–12+, mostly distal, stoutly conic to subulate, 0.5–1 mm, tips uncinate. 2</w:t>
      </w:r>
      <w:r>
        <w:rPr>
          <w:rFonts w:ascii="Calibri" w:hAnsi="Calibri" w:eastAsia="Calibri" w:cs="Calibri"/>
          <w:i/>
          <w:iCs/>
          <w:color w:val="000000"/>
          <w:sz w:val="22"/>
          <w:szCs w:val="22"/>
        </w:rPr>
        <w:t xml:space="preserve">n</w:t>
      </w:r>
      <w:r>
        <w:rPr>
          <w:rFonts w:ascii="Calibri" w:hAnsi="Calibri" w:eastAsia="Calibri" w:cs="Calibri"/>
          <w:color w:val="000000"/>
          <w:sz w:val="22"/>
          <w:szCs w:val="22"/>
        </w:rPr>
        <w:t xml:space="preserve"> = 72, 108 (Flora of North America,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leaves have short petioles and are bipinnate, divided into long lobes; their margins have sparse short hairs. The leaves are opposite at the base of the stem and alternate on the upper part of the plant. The leaves release a characteristic strong smell that may help to identify the plant.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is monoecious and has male and female yellow or greenish flowers. The male flowers are numerous and small (diameter about 1 cm) and are borne on erect clusters (Fig. 1). The female flowers lack petals and are concentrated in the leaf axils in a cup-shaped involucre. The fruit is a burr with 10–20 hooked spines and includes a single seed. The seeds are brown with a diameter of 3–4 mm. In Israel, the species blooms from September through to December.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Germination is best when seeds are on the soil surface (no germination was detected when seeds were planted at depths below 4 cm) and at moderate temperatures (Yair, 2017), suggesting autumn or spring germination. This is supported by Australian observations that this species germinates mostly in autumn (Parsons &amp; Cuthbertson, 2001). It is recorded that in California (USA)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can tolerate a wide pH from 5.4 to 7.4 (Calflora,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native range (Arizona),</w:t>
      </w:r>
      <w:r>
        <w:rPr>
          <w:rFonts w:ascii="Calibri" w:hAnsi="Calibri" w:eastAsia="Calibri" w:cs="Calibri"/>
          <w:i/>
          <w:iCs/>
          <w:color w:val="000000"/>
          <w:sz w:val="22"/>
          <w:szCs w:val="22"/>
        </w:rPr>
        <w:t xml:space="preserve"> Ambrosia confertiflora</w:t>
      </w:r>
      <w:r>
        <w:rPr>
          <w:rFonts w:ascii="Calibri" w:hAnsi="Calibri" w:eastAsia="Calibri" w:cs="Calibri"/>
          <w:color w:val="000000"/>
          <w:sz w:val="22"/>
          <w:szCs w:val="22"/>
        </w:rPr>
        <w:t xml:space="preserve"> grows in dry or moist, rocky, sterile or fertile soils. It is abundant along city streets, highways, waste places and edges of cultivated fields, also on barren mesas and slopes in southern and central Arizona; it is less troublesome northward, except in local areas where colonies have become established (e.g. around Flagstaff); 300–2000 m elevation.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Israel,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occurs in various natural and disturbed habitats, including dry plains and semi-arid valleys, degraded pastures, cultivated orchards, summer field crops (cotton and water melon), avocado and date groves, along roadsides, river banks and wadi beds (dry river beds), in wastelands and other disturbed areas (J. M. Dufour, pers. comm.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the species is a weed in degraded pasture land and agricultural land, also occurring in open disturbed areas (Parsons &amp; Cuthbertson, 2001).</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establishment of populations in the Jordan Valley, along roadsides, near Jericho and more recently in the Negev suggests that the plant can cope easily with arid conditions, i.e. high summer temperatures and an extended dry season. This is supported by the distribution of this species in its native range where it is most common in arid to semi-arid climates (Calflora, 2017; Flora of North America, 2017). However, it appears to have a wide environmental tolerance in its native range, occurring in temperatures from –1 to 35°C, precipitation levels from 230 to 1040 mm, elevations from 10 to 2000 m in regions where the growing season ranges from 5 to 12 months (Calflora, 2017; Flora of North America, 2017). In Israel, it is commonly associated with open habitats along rivers or in seasonally moist habitats (Yair, 2017). Growth trials have shown that the plant grows better in warm conditions (22/28°C and 28/34°C, night/day cycle) and shoot elongation is slower in cold conditions (10/16°C and 16/22°C, night/day cycle), and in these conditions the plant remains in a rosette form (Yair, 2017).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lepidopteran </w:t>
      </w:r>
      <w:r>
        <w:rPr>
          <w:rFonts w:ascii="Calibri" w:hAnsi="Calibri" w:eastAsia="Calibri" w:cs="Calibri"/>
          <w:i/>
          <w:iCs/>
          <w:color w:val="000000"/>
          <w:sz w:val="22"/>
          <w:szCs w:val="22"/>
        </w:rPr>
        <w:t xml:space="preserve">Epiblema strenuana</w:t>
      </w:r>
      <w:r>
        <w:rPr>
          <w:rFonts w:ascii="Calibri" w:hAnsi="Calibri" w:eastAsia="Calibri" w:cs="Calibri"/>
          <w:color w:val="000000"/>
          <w:sz w:val="22"/>
          <w:szCs w:val="22"/>
        </w:rPr>
        <w:t xml:space="preserve"> is present in Israel but shows no significant impact on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(Yaacoby &amp; Seplyarsky,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within the EPPO region, there are no known socio-economic benefits derived from the plant species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The species is not known to be available via the horticulture industry.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clear information on how the species was introduced into Israel. It is also unknown how the species entered Australia. To date the species has not been intercepted along any pathway into the EPPO region. When compiling the pest risk analysis (PRA), the Expert Working Group considered the pathways listed below as the most feasible pathways for the entry of the species into the region based on experience with similar non-native plant occurrences (EPPO, 2018):</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shipments of cattle and sheep from Australia to the EPPO region – particularly Israel and Jordan</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seed may become incorporated into animal seed mixture and imported and dispersed within the PRA area. The likelihood of contamination in animal feed is elevated as regulations are less restrictive than for human consumption or seed for planting</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in Israel, this species was recorded in the Golan Heights for the first time at a development site where the machinery is known to have come from an infested area (T Yacoobi, pers. comm., 2017)</w:t>
      </w:r>
    </w:p>
    <w:p>
      <w:pPr>
        <w:numPr>
          <w:ilvl w:val="0"/>
          <w:numId w:val="1"/>
        </w:numPr>
        <w:spacing w:before="0" w:after="0" w:line="240" w:lineRule="auto"/>
        <w:jc w:val="left"/>
        <w:rPr>
          <w:rFonts w:ascii="Calibri" w:hAnsi="Calibri" w:eastAsia="Calibri" w:cs="Calibri"/>
          <w:color w:val="000000"/>
          <w:sz w:val="22"/>
          <w:szCs w:val="22"/>
        </w:rPr>
      </w:pPr>
      <w:r>
        <w:rPr>
          <w:rFonts w:ascii="Calibri" w:hAnsi="Calibri" w:eastAsia="Calibri" w:cs="Calibri"/>
          <w:color w:val="000000"/>
          <w:sz w:val="22"/>
          <w:szCs w:val="22"/>
        </w:rPr>
        <w:t xml:space="preserve">- seeds are likely to be transported by mud on machinery. The fruits have hooked spines that can attach easily to clothing, boot or shoelaces. The plant forms near monospecific stands in habitats where people walk (e.g. natural areas and agricultural land, roadsides).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forms dense stands that can outcompete native plant species (Fig. 2) (J. M. Dufour-Dror, pers. comm. 2017). The plant has the ability to modify the vegetation dynamics (Israel Ministry of Environmental Protection, 2013). A monoculture can act to suppress understorey native plants, resulting in environmental impacts, in particular in humid habitats, in grasslands and in dry river beds (J. M. Dufour-Dror, pers. comm. 2017). In Israel, the plant spreads rapidly in wetlands and thrives along riverbanks, where it displaces native species and creates pure stands (J. M. Dufour-Dror, pers. comm. 2014). Species that have been shown to be displaced by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in Israel include </w:t>
      </w:r>
      <w:r>
        <w:rPr>
          <w:rFonts w:ascii="Calibri" w:hAnsi="Calibri" w:eastAsia="Calibri" w:cs="Calibri"/>
          <w:i/>
          <w:iCs/>
          <w:color w:val="000000"/>
          <w:sz w:val="22"/>
          <w:szCs w:val="22"/>
        </w:rPr>
        <w:t xml:space="preserve">Asparagus palaestinus, Bolboschoenus maritimus, Cyperus fuscus, Epilobium hirsutum, Ipomoea sagittata, Polygonum salicifolium, Pulicaria dysenterica, Ranunculus sceleratus, Verbena officinalis, Vicia galeata </w:t>
      </w:r>
      <w:r>
        <w:rPr>
          <w:rFonts w:ascii="Calibri" w:hAnsi="Calibri" w:eastAsia="Calibri" w:cs="Calibri"/>
          <w:color w:val="000000"/>
          <w:sz w:val="22"/>
          <w:szCs w:val="22"/>
        </w:rPr>
        <w:t xml:space="preserve">(T. Yaacobi, pers. comm.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there are no known studies that have assessed the impact of the species on biological diversity, but the species is regarded as suppressing pasture plants such as </w:t>
      </w:r>
      <w:r>
        <w:rPr>
          <w:rFonts w:ascii="Calibri" w:hAnsi="Calibri" w:eastAsia="Calibri" w:cs="Calibri"/>
          <w:i/>
          <w:iCs/>
          <w:color w:val="000000"/>
          <w:sz w:val="22"/>
          <w:szCs w:val="22"/>
        </w:rPr>
        <w:t xml:space="preserve">Chloris gayana</w:t>
      </w:r>
      <w:r>
        <w:rPr>
          <w:rFonts w:ascii="Calibri" w:hAnsi="Calibri" w:eastAsia="Calibri" w:cs="Calibri"/>
          <w:color w:val="000000"/>
          <w:sz w:val="22"/>
          <w:szCs w:val="22"/>
        </w:rPr>
        <w:t xml:space="preserve"> (Rhodes grass) (Australian Government,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Israel,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has been shown to have a significant impact on ecosystem services although a lot of the data for this is observational rather than from scientific studies.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is also a serious pest in cultivated fields, citrus groves and orchards in general and in vineyards (Israel Ministry of Environmental Protection, 2013). The plant competes for nutrients and can spread among cultivated fields and mixes with crops which cannot be harvested properly (Parsons &amp; Cuthbertson, 2001). In particular,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has a major impact on organic farming as it cannot be effectively controlled by cultural and mechanical practices. It has caused notable damage to </w:t>
      </w:r>
      <w:r>
        <w:rPr>
          <w:rFonts w:ascii="Calibri" w:hAnsi="Calibri" w:eastAsia="Calibri" w:cs="Calibri"/>
          <w:i/>
          <w:iCs/>
          <w:color w:val="000000"/>
          <w:sz w:val="22"/>
          <w:szCs w:val="22"/>
        </w:rPr>
        <w:t xml:space="preserve">Moringa</w:t>
      </w:r>
      <w:r>
        <w:rPr>
          <w:rFonts w:ascii="Calibri" w:hAnsi="Calibri" w:eastAsia="Calibri" w:cs="Calibri"/>
          <w:color w:val="000000"/>
          <w:sz w:val="22"/>
          <w:szCs w:val="22"/>
        </w:rPr>
        <w:t xml:space="preserve"> spp. fields in the Sharon region (J. M. Dufour-Dror, pers. comm. 2017). The burrs of the plant contaminate wool and can lower its value (Parsons &amp; Cuthbertson, 2001).</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in recreational sites may be problematic because of the unpleasant smell of the plant and mainly because of possible dermatitis and allergies it causes. In addition, monocultures can prevent access to sites and rivers. The plant also invades gardens and parks and is reported to disrupt their maintenance (J. M. Dufour-Dror, pers. comm. 2017).</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the other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produces a large amount of pollen which is considered to be severely allergenic (Yair, 2017), causing hay fever and contact dermatitis in susceptible people (Parsons &amp; Cuthbertson,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is not effectively controlled by cultural practices. In fact, cultural practices can make the infestation worse by spreading pieces of the perennial root and stimulating development of root buds. Mechanical control can even exacerbate the intensity of the invasion, as the plant regenerates very quickly after mowing (J. M. Dufour-Dror, pers. comm. 2017). Uprooting may only be effective against very young plants, as otherwise the root remains in the soil and the plant regenerates.</w:t>
      </w:r>
    </w:p>
    <w:p>
      <w:pPr>
        <w:widowControl w:val="on"/>
        <w:pBdr/>
        <w:spacing w:before="220" w:after="220" w:line="240" w:lineRule="auto"/>
        <w:ind w:left="0" w:right="0"/>
        <w:jc w:val="both"/>
      </w:pPr>
      <w:r>
        <w:rPr>
          <w:rFonts w:ascii="Calibri" w:hAnsi="Calibri" w:eastAsia="Calibri" w:cs="Calibri"/>
          <w:color w:val="000000"/>
          <w:sz w:val="22"/>
          <w:szCs w:val="22"/>
        </w:rPr>
        <w:t xml:space="preserve">In Israel, herbicides such as glyphosate, triclopyr and fluroxypyr are not very effective as the plant recovers quickly after the spraying (J. M. Dufour-Dror, pers. comm. 2017). In addition, these herbicides are not registered for use in wetlands and riparian habitats. A recent unpublished experiment in Israel suggests that imazapyr is effective in killing mature specimens of the burr ragweed (J. M. Dufour-Dror, pers. comm. 2017). However, herbicides have been recorded as providing satisfying results in controlling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in pastures in Australia.</w:t>
      </w:r>
    </w:p>
    <w:p>
      <w:pPr>
        <w:widowControl w:val="on"/>
        <w:pBdr/>
        <w:spacing w:before="220" w:after="220" w:line="240" w:lineRule="auto"/>
        <w:ind w:left="0" w:right="0"/>
        <w:jc w:val="both"/>
      </w:pPr>
      <w:r>
        <w:rPr>
          <w:rFonts w:ascii="Calibri" w:hAnsi="Calibri" w:eastAsia="Calibri" w:cs="Calibri"/>
          <w:color w:val="000000"/>
          <w:sz w:val="22"/>
          <w:szCs w:val="22"/>
        </w:rPr>
        <w:t xml:space="preserve">An unpublished study conducted in Israel showed that restoration of natural vegetation along river banks with </w:t>
      </w:r>
      <w:r>
        <w:rPr>
          <w:rFonts w:ascii="Calibri" w:hAnsi="Calibri" w:eastAsia="Calibri" w:cs="Calibri"/>
          <w:i/>
          <w:iCs/>
          <w:color w:val="000000"/>
          <w:sz w:val="22"/>
          <w:szCs w:val="22"/>
        </w:rPr>
        <w:t xml:space="preserve">Arundo donax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Arundo mediterranea</w:t>
      </w:r>
      <w:r>
        <w:rPr>
          <w:rFonts w:ascii="Calibri" w:hAnsi="Calibri" w:eastAsia="Calibri" w:cs="Calibri"/>
          <w:color w:val="000000"/>
          <w:sz w:val="22"/>
          <w:szCs w:val="22"/>
        </w:rPr>
        <w:t xml:space="preserve"> (Poaceae) successfully prevented the re-establishment of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in previously infested areas (J. M. Dufour-Dror, pers. comm.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within the EPPO region there are regulations specific to</w:t>
      </w:r>
      <w:r>
        <w:rPr>
          <w:rFonts w:ascii="Calibri" w:hAnsi="Calibri" w:eastAsia="Calibri" w:cs="Calibri"/>
          <w:i/>
          <w:iCs/>
          <w:color w:val="000000"/>
          <w:sz w:val="22"/>
          <w:szCs w:val="22"/>
        </w:rPr>
        <w:t xml:space="preserve"> A. confertiflora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confertiflora </w:t>
      </w:r>
      <w:r>
        <w:rPr>
          <w:rFonts w:ascii="Calibri" w:hAnsi="Calibri" w:eastAsia="Calibri" w:cs="Calibri"/>
          <w:color w:val="000000"/>
          <w:sz w:val="22"/>
          <w:szCs w:val="22"/>
        </w:rPr>
        <w:t xml:space="preserve">was included on the EPPO List of Invasive Alien Plants in 2014. In 2016, the species was prioritized (along with 36 additional species from the EPPO List of Invasive Alien Plants and a recent horizon scanning study) for PRA within the LIFE-funded project ‘Mitigating the threat of invasive alien plants to the EU through PRA to support the Regulation 1143/2014’.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was one of 16 species identified as having a high priority for PRA (Branquart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Tanner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 A subsequent PRA concluded that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had a high phytosanitary risk to the endangered area (EPPO, 2018) and was added to the EPPO A2 List of pests recommended for regulation. At the time of publishing,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is being considered for inclusion on the list of (European) Union concern.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is declared ‘Noxious’ in South Australia (proclaimed plant as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spp.) (Natural Resources Management Act). In addition, in Australia, the species is a non-saleable weed.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Australian Government (2017) Weeds in Australia, </w:t>
      </w:r>
      <w:r>
        <w:rPr>
          <w:rFonts w:ascii="Calibri" w:hAnsi="Calibri" w:eastAsia="Calibri" w:cs="Calibri"/>
          <w:i/>
          <w:iCs/>
          <w:color w:val="000000"/>
          <w:sz w:val="22"/>
          <w:szCs w:val="22"/>
        </w:rPr>
        <w:t xml:space="preserve">Ambrosia confertiflora.  </w:t>
      </w:r>
      <w:hyperlink r:id="rId59596acfd3ed66d4b" w:history="1">
        <w:r>
          <w:rPr>
            <w:rFonts w:ascii="Calibri" w:hAnsi="Calibri" w:eastAsia="Calibri" w:cs="Calibri"/>
            <w:color w:val="0000CC"/>
            <w:sz w:val="22"/>
            <w:szCs w:val="22"/>
            <w:u w:val="single"/>
          </w:rPr>
          <w:t xml:space="preserve">http://www.environment.gov.au/cgi-bin/biodiversity/invasive/weeds/weeddetails.pl?taxon_id=15367</w:t>
        </w:r>
      </w:hyperlink>
      <w:r>
        <w:rPr>
          <w:rFonts w:ascii="Calibri" w:hAnsi="Calibri" w:eastAsia="Calibri" w:cs="Calibri"/>
          <w:color w:val="000000"/>
          <w:sz w:val="22"/>
          <w:szCs w:val="22"/>
        </w:rPr>
        <w:t xml:space="preserve"> [accessed on 25 September 2017]</w:t>
      </w:r>
    </w:p>
    <w:p>
      <w:pPr>
        <w:widowControl w:val="on"/>
        <w:pBdr/>
        <w:spacing w:before="220" w:after="220" w:line="240" w:lineRule="auto"/>
        <w:ind w:left="0" w:right="0"/>
        <w:jc w:val="left"/>
      </w:pPr>
      <w:r>
        <w:rPr>
          <w:rFonts w:ascii="Calibri" w:hAnsi="Calibri" w:eastAsia="Calibri" w:cs="Calibri"/>
          <w:color w:val="000000"/>
          <w:sz w:val="22"/>
          <w:szCs w:val="22"/>
        </w:rPr>
        <w:t xml:space="preserve">Branquart E, Brundu G, Buholzer S, Chapman D, Ehret P, Fried 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 prioritization process for invasive alien plant species incorporating the requirements of the EU Regulation 1143/2014.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603–617.</w:t>
      </w:r>
    </w:p>
    <w:p>
      <w:pPr>
        <w:widowControl w:val="on"/>
        <w:pBdr/>
        <w:spacing w:before="220" w:after="220" w:line="240" w:lineRule="auto"/>
        <w:ind w:left="0" w:right="0"/>
        <w:jc w:val="left"/>
      </w:pPr>
      <w:r>
        <w:rPr>
          <w:rFonts w:ascii="Calibri" w:hAnsi="Calibri" w:eastAsia="Calibri" w:cs="Calibri"/>
          <w:color w:val="000000"/>
          <w:sz w:val="22"/>
          <w:szCs w:val="22"/>
        </w:rPr>
        <w:t xml:space="preserve">Calflora (2017) </w:t>
      </w:r>
      <w:r>
        <w:rPr>
          <w:rFonts w:ascii="Calibri" w:hAnsi="Calibri" w:eastAsia="Calibri" w:cs="Calibri"/>
          <w:i/>
          <w:iCs/>
          <w:color w:val="000000"/>
          <w:sz w:val="22"/>
          <w:szCs w:val="22"/>
        </w:rPr>
        <w:t xml:space="preserve">Ambrosia confertiflor</w:t>
      </w:r>
      <w:r>
        <w:rPr>
          <w:rFonts w:ascii="Calibri" w:hAnsi="Calibri" w:eastAsia="Calibri" w:cs="Calibri"/>
          <w:color w:val="000000"/>
          <w:sz w:val="22"/>
          <w:szCs w:val="22"/>
        </w:rPr>
        <w:t xml:space="preserve">a. </w:t>
      </w:r>
      <w:hyperlink r:id="rId15696acfd3ed66e2c" w:history="1">
        <w:r>
          <w:rPr>
            <w:rFonts w:ascii="Calibri" w:hAnsi="Calibri" w:eastAsia="Calibri" w:cs="Calibri"/>
            <w:color w:val="0000CC"/>
            <w:sz w:val="22"/>
            <w:szCs w:val="22"/>
            <w:u w:val="single"/>
          </w:rPr>
          <w:t xml:space="preserve">https://www.calflora.org/cgi-bin/species_query.cgi?where-calrecnum=294</w:t>
        </w:r>
      </w:hyperlink>
      <w:r>
        <w:rPr>
          <w:rFonts w:ascii="Calibri" w:hAnsi="Calibri" w:eastAsia="Calibri" w:cs="Calibri"/>
          <w:color w:val="000000"/>
          <w:sz w:val="22"/>
          <w:szCs w:val="22"/>
        </w:rPr>
        <w:t xml:space="preserve"> [accessed on 25 September 2017]</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(2012) Alien invasive plants in Israel, p. 213. The Middle East Nature Conservation Promotion Association, Ahva publishing, Jerusalem (IL).</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(2016) Improving the prevention of alien plant invasion in the EPPO region: the need to focus on highly invasive plants with (still) limited distribution—examples from Israel.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(2), 341–347.</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&amp; Fragman-Sapir O (2018) Alien plants species in natural and disturbed areas in Israel. In </w:t>
      </w:r>
      <w:r>
        <w:rPr>
          <w:rFonts w:ascii="Calibri" w:hAnsi="Calibri" w:eastAsia="Calibri" w:cs="Calibri"/>
          <w:i/>
          <w:iCs/>
          <w:color w:val="000000"/>
          <w:sz w:val="22"/>
          <w:szCs w:val="22"/>
        </w:rPr>
        <w:t xml:space="preserve">Alien Invasive plants in Israel</w:t>
      </w:r>
      <w:r>
        <w:rPr>
          <w:rFonts w:ascii="Calibri" w:hAnsi="Calibri" w:eastAsia="Calibri" w:cs="Calibri"/>
          <w:color w:val="000000"/>
          <w:sz w:val="22"/>
          <w:szCs w:val="22"/>
        </w:rPr>
        <w:t xml:space="preserve">, 2nd edn (ed. Dufour-Dror JM). Cana publishing, Jerusalem (IL), in press.</w:t>
      </w:r>
    </w:p>
    <w:p>
      <w:pPr>
        <w:widowControl w:val="on"/>
        <w:pBdr/>
        <w:spacing w:before="220" w:after="220" w:line="240" w:lineRule="auto"/>
        <w:ind w:left="0" w:right="0"/>
        <w:jc w:val="left"/>
      </w:pPr>
      <w:r>
        <w:rPr>
          <w:rFonts w:ascii="Calibri" w:hAnsi="Calibri" w:eastAsia="Calibri" w:cs="Calibri"/>
          <w:color w:val="000000"/>
          <w:sz w:val="22"/>
          <w:szCs w:val="22"/>
        </w:rPr>
        <w:t xml:space="preserve">Dufour-Dror JM &amp; Yaacoby T (2013)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Burr ragweed – Factsheet, p. 1–7. Israel Ministry of Environmental Protection, Israel Nature &amp; Parks Authority, Israel Plant Protection &amp; Inspection Services, Jerusalem.</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risk analysis for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EPPO, Paris. </w:t>
      </w:r>
      <w:hyperlink r:id="rId85096acfd3ed66f84" w:history="1">
        <w:r>
          <w:rPr>
            <w:rFonts w:ascii="Calibri" w:hAnsi="Calibri" w:eastAsia="Calibri" w:cs="Calibri"/>
            <w:color w:val="0000CC"/>
            <w:sz w:val="22"/>
            <w:szCs w:val="22"/>
            <w:u w:val="single"/>
          </w:rPr>
          <w:t xml:space="preserve">https://pra.eppo.int/</w:t>
        </w:r>
      </w:hyperlink>
      <w:r>
        <w:rPr>
          <w:rFonts w:ascii="Calibri" w:hAnsi="Calibri" w:eastAsia="Calibri" w:cs="Calibri"/>
          <w:color w:val="000000"/>
          <w:sz w:val="22"/>
          <w:szCs w:val="22"/>
        </w:rPr>
        <w:t xml:space="preserve"> [accessed on 8 November 2018]</w:t>
      </w:r>
    </w:p>
    <w:p>
      <w:pPr>
        <w:widowControl w:val="on"/>
        <w:pBdr/>
        <w:spacing w:before="220" w:after="220" w:line="240" w:lineRule="auto"/>
        <w:ind w:left="0" w:right="0"/>
        <w:jc w:val="left"/>
      </w:pPr>
      <w:r>
        <w:rPr>
          <w:rFonts w:ascii="Calibri" w:hAnsi="Calibri" w:eastAsia="Calibri" w:cs="Calibri"/>
          <w:color w:val="000000"/>
          <w:sz w:val="22"/>
          <w:szCs w:val="22"/>
        </w:rPr>
        <w:t xml:space="preserve">Flora of North America (2017)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w:t>
      </w:r>
      <w:hyperlink r:id="rId73846acfd3ed66fe0" w:history="1">
        <w:r>
          <w:rPr>
            <w:rFonts w:ascii="Calibri" w:hAnsi="Calibri" w:eastAsia="Calibri" w:cs="Calibri"/>
            <w:color w:val="0000CC"/>
            <w:sz w:val="22"/>
            <w:szCs w:val="22"/>
            <w:u w:val="single"/>
          </w:rPr>
          <w:t xml:space="preserve">http://www.efloras.org/florataxon.aspx?flora_id=1&amp;taxon_id=250066047</w:t>
        </w:r>
      </w:hyperlink>
      <w:r>
        <w:rPr>
          <w:rFonts w:ascii="Calibri" w:hAnsi="Calibri" w:eastAsia="Calibri" w:cs="Calibri"/>
          <w:color w:val="000000"/>
          <w:sz w:val="22"/>
          <w:szCs w:val="22"/>
        </w:rPr>
        <w:t xml:space="preserve"> [accessed on 23 September 2017]</w:t>
      </w:r>
    </w:p>
    <w:p>
      <w:pPr>
        <w:widowControl w:val="on"/>
        <w:pBdr/>
        <w:spacing w:before="220" w:after="220" w:line="240" w:lineRule="auto"/>
        <w:ind w:left="0" w:right="0"/>
        <w:jc w:val="left"/>
      </w:pPr>
      <w:r>
        <w:rPr>
          <w:rFonts w:ascii="Calibri" w:hAnsi="Calibri" w:eastAsia="Calibri" w:cs="Calibri"/>
          <w:color w:val="000000"/>
          <w:sz w:val="22"/>
          <w:szCs w:val="22"/>
        </w:rPr>
        <w:t xml:space="preserve">Israel Ministry of Environmental Protection (2013)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Burr Ragweed, Information booklet. p. 7. </w:t>
      </w:r>
      <w:hyperlink r:id="rId67636acfd3ed6703f" w:history="1">
        <w:r>
          <w:rPr>
            <w:rFonts w:ascii="Calibri" w:hAnsi="Calibri" w:eastAsia="Calibri" w:cs="Calibri"/>
            <w:color w:val="0000CC"/>
            <w:sz w:val="22"/>
            <w:szCs w:val="22"/>
            <w:u w:val="single"/>
          </w:rPr>
          <w:t xml:space="preserve">http://www.sviva.gov.il/InfoServices/ReservoirInfo/DocLib2/Publications/P0701-P0800/P0707.pdf</w:t>
        </w:r>
      </w:hyperlink>
      <w:r>
        <w:rPr>
          <w:rFonts w:ascii="Calibri" w:hAnsi="Calibri" w:eastAsia="Calibri" w:cs="Calibri"/>
          <w:color w:val="000000"/>
          <w:sz w:val="22"/>
          <w:szCs w:val="22"/>
        </w:rPr>
        <w:t xml:space="preserve"> [accessed on 23 September, 2017]</w:t>
      </w:r>
    </w:p>
    <w:p>
      <w:pPr>
        <w:widowControl w:val="on"/>
        <w:pBdr/>
        <w:spacing w:before="220" w:after="220" w:line="240" w:lineRule="auto"/>
        <w:ind w:left="0" w:right="0"/>
        <w:jc w:val="left"/>
      </w:pPr>
      <w:r>
        <w:rPr>
          <w:rFonts w:ascii="Calibri" w:hAnsi="Calibri" w:eastAsia="Calibri" w:cs="Calibri"/>
          <w:color w:val="000000"/>
          <w:sz w:val="22"/>
          <w:szCs w:val="22"/>
        </w:rPr>
        <w:t xml:space="preserve">Parsons WT &amp; Cuthbertson EG (2001) </w:t>
      </w:r>
      <w:r>
        <w:rPr>
          <w:rFonts w:ascii="Calibri" w:hAnsi="Calibri" w:eastAsia="Calibri" w:cs="Calibri"/>
          <w:i/>
          <w:iCs/>
          <w:color w:val="000000"/>
          <w:sz w:val="22"/>
          <w:szCs w:val="22"/>
        </w:rPr>
        <w:t xml:space="preserve">Noxious weeds of Australia</w:t>
      </w:r>
      <w:r>
        <w:rPr>
          <w:rFonts w:ascii="Calibri" w:hAnsi="Calibri" w:eastAsia="Calibri" w:cs="Calibri"/>
          <w:color w:val="000000"/>
          <w:sz w:val="22"/>
          <w:szCs w:val="22"/>
        </w:rPr>
        <w:t xml:space="preserve">, 2nd edn, p. 698. CSIRO Publishing, Collingwood (AU).</w:t>
      </w:r>
    </w:p>
    <w:p>
      <w:pPr>
        <w:widowControl w:val="on"/>
        <w:pBdr/>
        <w:spacing w:before="220" w:after="220" w:line="240" w:lineRule="auto"/>
        <w:ind w:left="0" w:right="0"/>
        <w:jc w:val="left"/>
      </w:pPr>
      <w:r>
        <w:rPr>
          <w:rFonts w:ascii="Calibri" w:hAnsi="Calibri" w:eastAsia="Calibri" w:cs="Calibri"/>
          <w:color w:val="000000"/>
          <w:sz w:val="22"/>
          <w:szCs w:val="22"/>
        </w:rPr>
        <w:t xml:space="preserve">Richardson FJ, Richardson RG &amp; Shepherd RCH (2011) </w:t>
      </w:r>
      <w:r>
        <w:rPr>
          <w:rFonts w:ascii="Calibri" w:hAnsi="Calibri" w:eastAsia="Calibri" w:cs="Calibri"/>
          <w:i/>
          <w:iCs/>
          <w:color w:val="000000"/>
          <w:sz w:val="22"/>
          <w:szCs w:val="22"/>
        </w:rPr>
        <w:t xml:space="preserve">Weeds of the South-East – An identification guide for Australia</w:t>
      </w:r>
      <w:r>
        <w:rPr>
          <w:rFonts w:ascii="Calibri" w:hAnsi="Calibri" w:eastAsia="Calibri" w:cs="Calibri"/>
          <w:color w:val="000000"/>
          <w:sz w:val="22"/>
          <w:szCs w:val="22"/>
        </w:rPr>
        <w:t xml:space="preserve">, 2nd edn, p. 546. R.G &amp; F.J. Richardson, Meredith, Vic. (AU).</w:t>
      </w:r>
    </w:p>
    <w:p>
      <w:pPr>
        <w:widowControl w:val="on"/>
        <w:pBdr/>
        <w:spacing w:before="220" w:after="220" w:line="240" w:lineRule="auto"/>
        <w:ind w:left="0" w:right="0"/>
        <w:jc w:val="left"/>
      </w:pPr>
      <w:r>
        <w:rPr>
          <w:rFonts w:ascii="Calibri" w:hAnsi="Calibri" w:eastAsia="Calibri" w:cs="Calibri"/>
          <w:color w:val="000000"/>
          <w:sz w:val="22"/>
          <w:szCs w:val="22"/>
        </w:rPr>
        <w:t xml:space="preserve">Tanner R, Branquart E, Brundu G, Buholzer S, Chapman D, Ehret 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prioritisation of a short list of alien plants for risk analysis within the framework of the Regulation (EU) No. 1143/2014</w:t>
      </w:r>
      <w:r>
        <w:rPr>
          <w:rFonts w:ascii="Calibri" w:hAnsi="Calibri" w:eastAsia="Calibri" w:cs="Calibri"/>
          <w:i/>
          <w:iCs/>
          <w:color w:val="000000"/>
          <w:sz w:val="22"/>
          <w:szCs w:val="22"/>
        </w:rPr>
        <w:t xml:space="preserve">. NeoBiota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87–118.</w:t>
      </w:r>
    </w:p>
    <w:p>
      <w:pPr>
        <w:widowControl w:val="on"/>
        <w:pBdr/>
        <w:spacing w:before="220" w:after="220" w:line="240" w:lineRule="auto"/>
        <w:ind w:left="0" w:right="0"/>
        <w:jc w:val="left"/>
      </w:pPr>
      <w:r>
        <w:rPr>
          <w:rFonts w:ascii="Calibri" w:hAnsi="Calibri" w:eastAsia="Calibri" w:cs="Calibri"/>
          <w:color w:val="000000"/>
          <w:sz w:val="22"/>
          <w:szCs w:val="22"/>
        </w:rPr>
        <w:t xml:space="preserve">Yaacoby T &amp; Seplyarsky V (2011) Epiblema strenuana (Walker, 1863) (Lepidoptera: Tortricidae), a new species in Israel.</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(2), 243–246.</w:t>
      </w:r>
    </w:p>
    <w:p>
      <w:pPr>
        <w:widowControl w:val="on"/>
        <w:pBdr/>
        <w:spacing w:before="220" w:after="220" w:line="240" w:lineRule="auto"/>
        <w:ind w:left="0" w:right="0"/>
        <w:jc w:val="left"/>
      </w:pPr>
      <w:r>
        <w:rPr>
          <w:rFonts w:ascii="Calibri" w:hAnsi="Calibri" w:eastAsia="Calibri" w:cs="Calibri"/>
          <w:color w:val="000000"/>
          <w:sz w:val="22"/>
          <w:szCs w:val="22"/>
        </w:rPr>
        <w:t xml:space="preserve">Yair Y (2017) </w:t>
      </w:r>
      <w:r>
        <w:rPr>
          <w:rFonts w:ascii="Calibri" w:hAnsi="Calibri" w:eastAsia="Calibri" w:cs="Calibri"/>
          <w:i/>
          <w:iCs/>
          <w:color w:val="000000"/>
          <w:sz w:val="22"/>
          <w:szCs w:val="22"/>
        </w:rPr>
        <w:t xml:space="preserve">Ambrosia</w:t>
      </w:r>
      <w:r>
        <w:rPr>
          <w:rFonts w:ascii="Calibri" w:hAnsi="Calibri" w:eastAsia="Calibri" w:cs="Calibri"/>
          <w:color w:val="000000"/>
          <w:sz w:val="22"/>
          <w:szCs w:val="22"/>
        </w:rPr>
        <w:t xml:space="preserve"> spp. In Israel, an invasive and allergenic weed. PhD thesis, Tel Aviv University.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is an output of a DG Environment, LIFE funding, under the project LIFE15 PRE-FR 001: Mitigating the threat of invasive alien plants in the EU through pest risk analysis to support the EU Regulation 1143/2014. The datasheet was produced following an Expert Working Group (EWG) that risk analysed </w:t>
      </w:r>
      <w:r>
        <w:rPr>
          <w:rFonts w:ascii="Calibri" w:hAnsi="Calibri" w:eastAsia="Calibri" w:cs="Calibri"/>
          <w:i/>
          <w:iCs/>
          <w:color w:val="000000"/>
          <w:sz w:val="22"/>
          <w:szCs w:val="22"/>
        </w:rPr>
        <w:t xml:space="preserve">A. confertiflora</w:t>
      </w:r>
      <w:r>
        <w:rPr>
          <w:rFonts w:ascii="Calibri" w:hAnsi="Calibri" w:eastAsia="Calibri" w:cs="Calibri"/>
          <w:color w:val="000000"/>
          <w:sz w:val="22"/>
          <w:szCs w:val="22"/>
        </w:rPr>
        <w:t xml:space="preserve"> for the EPPO region in September 2017. The composition of the EWG was as follows: M. Bouhache (Institut Agronomique et Vétérinaire, MA), D. Chapman (Centre for Ecology and Hydrology, GB), S. Follak (Austrian Agency for Health and Food Safety (AGES), AT), J. Lambrinos (Oregon State University, US), J. van Valkenburg (National Plant Protection Organization, NL), V. Visser (University of Cape Town, ZA), T. Yaacobi (Research and Consultancy in Applied Ecology, IL) and R.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EPPO datasheets on pests recommended for regulation. Available online. </w:t>
      </w:r>
      <w:hyperlink r:id="rId40546acfd3ed672b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2019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(2019) </w:t>
      </w:r>
      <w:r>
        <w:rPr>
          <w:rFonts w:ascii="Calibri" w:hAnsi="Calibri" w:eastAsia="Calibri" w:cs="Calibri"/>
          <w:i/>
          <w:iCs/>
          <w:color w:val="000000"/>
          <w:sz w:val="22"/>
          <w:szCs w:val="22"/>
        </w:rPr>
        <w:t xml:space="preserve">Ambrosia confertiflora</w:t>
      </w:r>
      <w:r>
        <w:rPr>
          <w:rFonts w:ascii="Calibri" w:hAnsi="Calibri" w:eastAsia="Calibri" w:cs="Calibri"/>
          <w:color w:val="000000"/>
          <w:sz w:val="22"/>
          <w:szCs w:val="22"/>
        </w:rPr>
        <w:t xml:space="preserve"> DC.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(1), 50-54. </w:t>
      </w:r>
      <w:hyperlink r:id="rId48226acfd3ed67390" w:history="1">
        <w:r>
          <w:rPr>
            <w:rFonts w:ascii="Calibri" w:hAnsi="Calibri" w:eastAsia="Calibri" w:cs="Calibri"/>
            <w:color w:val="0000CC"/>
            <w:sz w:val="22"/>
            <w:szCs w:val="22"/>
            <w:u w:val="single"/>
          </w:rPr>
          <w:t xml:space="preserve">https://doi.org/10.1111/epp.12532</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08840">
    <w:multiLevelType w:val="hybridMultilevel"/>
    <w:lvl w:ilvl="0" w:tplc="36831456">
      <w:start w:val="1"/>
      <w:numFmt w:val="decimal"/>
      <w:lvlText w:val="%1."/>
      <w:lvlJc w:val="left"/>
      <w:pPr>
        <w:ind w:left="720" w:hanging="360"/>
      </w:pPr>
    </w:lvl>
    <w:lvl w:ilvl="1" w:tplc="36831456" w:tentative="1">
      <w:start w:val="1"/>
      <w:numFmt w:val="lowerLetter"/>
      <w:lvlText w:val="%2."/>
      <w:lvlJc w:val="left"/>
      <w:pPr>
        <w:ind w:left="1440" w:hanging="360"/>
      </w:pPr>
    </w:lvl>
    <w:lvl w:ilvl="2" w:tplc="36831456" w:tentative="1">
      <w:start w:val="1"/>
      <w:numFmt w:val="lowerRoman"/>
      <w:lvlText w:val="%3."/>
      <w:lvlJc w:val="right"/>
      <w:pPr>
        <w:ind w:left="2160" w:hanging="180"/>
      </w:pPr>
    </w:lvl>
    <w:lvl w:ilvl="3" w:tplc="36831456" w:tentative="1">
      <w:start w:val="1"/>
      <w:numFmt w:val="decimal"/>
      <w:lvlText w:val="%4."/>
      <w:lvlJc w:val="left"/>
      <w:pPr>
        <w:ind w:left="2880" w:hanging="360"/>
      </w:pPr>
    </w:lvl>
    <w:lvl w:ilvl="4" w:tplc="36831456" w:tentative="1">
      <w:start w:val="1"/>
      <w:numFmt w:val="lowerLetter"/>
      <w:lvlText w:val="%5."/>
      <w:lvlJc w:val="left"/>
      <w:pPr>
        <w:ind w:left="3600" w:hanging="360"/>
      </w:pPr>
    </w:lvl>
    <w:lvl w:ilvl="5" w:tplc="36831456" w:tentative="1">
      <w:start w:val="1"/>
      <w:numFmt w:val="lowerRoman"/>
      <w:lvlText w:val="%6."/>
      <w:lvlJc w:val="right"/>
      <w:pPr>
        <w:ind w:left="4320" w:hanging="180"/>
      </w:pPr>
    </w:lvl>
    <w:lvl w:ilvl="6" w:tplc="36831456" w:tentative="1">
      <w:start w:val="1"/>
      <w:numFmt w:val="decimal"/>
      <w:lvlText w:val="%7."/>
      <w:lvlJc w:val="left"/>
      <w:pPr>
        <w:ind w:left="5040" w:hanging="360"/>
      </w:pPr>
    </w:lvl>
    <w:lvl w:ilvl="7" w:tplc="36831456" w:tentative="1">
      <w:start w:val="1"/>
      <w:numFmt w:val="lowerLetter"/>
      <w:lvlText w:val="%8."/>
      <w:lvlJc w:val="left"/>
      <w:pPr>
        <w:ind w:left="5760" w:hanging="360"/>
      </w:pPr>
    </w:lvl>
    <w:lvl w:ilvl="8" w:tplc="36831456" w:tentative="1">
      <w:start w:val="1"/>
      <w:numFmt w:val="lowerRoman"/>
      <w:lvlText w:val="%9."/>
      <w:lvlJc w:val="right"/>
      <w:pPr>
        <w:ind w:left="6480" w:hanging="180"/>
      </w:pPr>
    </w:lvl>
  </w:abstractNum>
  <w:abstractNum w:abstractNumId="44708839">
    <w:multiLevelType w:val="hybridMultilevel"/>
    <w:lvl w:ilvl="0" w:tplc="348859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08839">
    <w:abstractNumId w:val="44708839"/>
  </w:num>
  <w:num w:numId="44708840">
    <w:abstractNumId w:val="4470884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1851182" Type="http://schemas.microsoft.com/office/2011/relationships/commentsExtended" Target="commentsExtended.xml"/><Relationship Id="rId955861027" Type="http://schemas.microsoft.com/office/2011/relationships/people" Target="people.xml"/><Relationship Id="rId76016acfd3ed6494c" Type="http://schemas.openxmlformats.org/officeDocument/2006/relationships/hyperlink" Target="https://gd.eppo.int/taxon/FRSCO/" TargetMode="External"/><Relationship Id="rId80426acfd3ed64993" Type="http://schemas.openxmlformats.org/officeDocument/2006/relationships/hyperlink" Target="https://gd.eppo.int/taxon/FRSCO/categorization" TargetMode="External"/><Relationship Id="rId92266acfd3ed651fe" Type="http://schemas.openxmlformats.org/officeDocument/2006/relationships/hyperlink" Target="https://gd.eppo.int/taxon/FRSCO/photos" TargetMode="External"/><Relationship Id="rId59596acfd3ed66d4b" Type="http://schemas.openxmlformats.org/officeDocument/2006/relationships/hyperlink" Target="http://www.environment.gov.au/cgi-bin/biodiversity/invasive/weeds/weeddetails.pl?taxon_id=15367" TargetMode="External"/><Relationship Id="rId15696acfd3ed66e2c" Type="http://schemas.openxmlformats.org/officeDocument/2006/relationships/hyperlink" Target="https://www.calflora.org/cgi-bin/species_query.cgi?where-calrecnum=294" TargetMode="External"/><Relationship Id="rId85096acfd3ed66f84" Type="http://schemas.openxmlformats.org/officeDocument/2006/relationships/hyperlink" Target="https://pra.eppo.int/" TargetMode="External"/><Relationship Id="rId73846acfd3ed66fe0" Type="http://schemas.openxmlformats.org/officeDocument/2006/relationships/hyperlink" Target="http://www.efloras.org/florataxon.aspx?flora_id=1&amp;taxon_id=250066047" TargetMode="External"/><Relationship Id="rId67636acfd3ed6703f" Type="http://schemas.openxmlformats.org/officeDocument/2006/relationships/hyperlink" Target="http://www.sviva.gov.il/InfoServices/ReservoirInfo/DocLib2/Publications/P0701-P0800/P0707.pdf" TargetMode="External"/><Relationship Id="rId40546acfd3ed672bb" Type="http://schemas.openxmlformats.org/officeDocument/2006/relationships/hyperlink" Target="https://gd.eppo.int" TargetMode="External"/><Relationship Id="rId48226acfd3ed67390" Type="http://schemas.openxmlformats.org/officeDocument/2006/relationships/hyperlink" Target="https://doi.org/10.1111/epp.12532" TargetMode="External"/><Relationship Id="rId95586acfd3ed650cc" Type="http://schemas.openxmlformats.org/officeDocument/2006/relationships/image" Target="media/imgrId95586acfd3ed650cc.jpg"/><Relationship Id="rId73756acfd3ed66112" Type="http://schemas.openxmlformats.org/officeDocument/2006/relationships/image" Target="media/imgrId73756acfd3ed66112.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