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Frankliniella occidentalis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2017-08-07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Frankliniella occidentalis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(Pergande)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Thysanoptera: Thripidae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Frankliniella californica</w:t>
            </w:r>
            <w:r>
              <w:rPr>
                <w:rFonts w:ascii="Calibri" w:hAnsi="Calibri" w:eastAsia="Calibri" w:cs="Calibri"/>
                <w:color w:val="000000"/>
                <w:position w:val="-3"/>
                <w:sz w:val="22"/>
                <w:szCs w:val="22"/>
              </w:rPr>
              <w:t xml:space="preserve"> (Moulton), </w:t>
            </w:r>
            <w:r>
              <w:rPr>
                <w:rFonts w:ascii="Calibri" w:hAnsi="Calibri" w:eastAsia="Calibri" w:cs="Calibri"/>
                <w:i/>
                <w:iCs/>
                <w:color w:val="000000"/>
                <w:position w:val="-3"/>
                <w:sz w:val="22"/>
                <w:szCs w:val="22"/>
              </w:rPr>
              <w:t xml:space="preserve">Frankliniella helianthi</w:t>
            </w:r>
            <w:r>
              <w:rPr>
                <w:rFonts w:ascii="Calibri" w:hAnsi="Calibri" w:eastAsia="Calibri" w:cs="Calibri"/>
                <w:color w:val="000000"/>
                <w:position w:val="-3"/>
                <w:sz w:val="22"/>
                <w:szCs w:val="22"/>
              </w:rPr>
              <w:t xml:space="preserve"> (Moulton), </w:t>
            </w:r>
            <w:r>
              <w:rPr>
                <w:rFonts w:ascii="Calibri" w:hAnsi="Calibri" w:eastAsia="Calibri" w:cs="Calibri"/>
                <w:i/>
                <w:iCs/>
                <w:color w:val="000000"/>
                <w:position w:val="-3"/>
                <w:sz w:val="22"/>
                <w:szCs w:val="22"/>
              </w:rPr>
              <w:t xml:space="preserve">Frankliniella moultoni</w:t>
            </w:r>
            <w:r>
              <w:rPr>
                <w:rFonts w:ascii="Calibri" w:hAnsi="Calibri" w:eastAsia="Calibri" w:cs="Calibri"/>
                <w:color w:val="000000"/>
                <w:position w:val="-3"/>
                <w:sz w:val="22"/>
                <w:szCs w:val="22"/>
              </w:rPr>
              <w:t xml:space="preserve"> Hood, </w:t>
            </w:r>
            <w:r>
              <w:rPr>
                <w:rFonts w:ascii="Calibri" w:hAnsi="Calibri" w:eastAsia="Calibri" w:cs="Calibri"/>
                <w:i/>
                <w:iCs/>
                <w:color w:val="000000"/>
                <w:position w:val="-3"/>
                <w:sz w:val="22"/>
                <w:szCs w:val="22"/>
              </w:rPr>
              <w:t xml:space="preserve">Frankliniella trehernei</w:t>
            </w:r>
            <w:r>
              <w:rPr>
                <w:rFonts w:ascii="Calibri" w:hAnsi="Calibri" w:eastAsia="Calibri" w:cs="Calibri"/>
                <w:color w:val="000000"/>
                <w:position w:val="-3"/>
                <w:sz w:val="22"/>
                <w:szCs w:val="22"/>
              </w:rPr>
              <w:t xml:space="preserve"> Morgan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alfalfa thrips, western flower thrips (US), western grass thrips</w:t>
            </w:r>
            <w:hyperlink r:id="rId39746a65b01971a9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79206a65b01971ae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FRANOC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4818095" name="name38326a65b0197214f" descr="14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519.jpg"/>
                          <pic:cNvPicPr/>
                        </pic:nvPicPr>
                        <pic:blipFill>
                          <a:blip r:embed="rId82186a65b0197214e" cstate="print"/>
                          <a:stretch>
                            <a:fillRect/>
                          </a:stretch>
                        </pic:blipFill>
                        <pic:spPr>
                          <a:xfrm>
                            <a:off x="0" y="0"/>
                            <a:ext cx="2160000" cy="1281600"/>
                          </a:xfrm>
                          <a:prstGeom prst="rect">
                            <a:avLst/>
                          </a:prstGeom>
                          <a:ln w="0">
                            <a:noFill/>
                          </a:ln>
                        </pic:spPr>
                      </pic:pic>
                    </a:graphicData>
                  </a:graphic>
                </wp:inline>
              </w:drawing>
            </w:r>
            <w:hyperlink r:id="rId63406a65b01972291"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a remarkably polyphagous species with 244 plant species from 62 families being recorded as hosts. In the USA, the pest is found outdoors attacking the flowers of apricots, peaches and nectarines, plums, roses, carnations, sweet peas, </w:t>
      </w:r>
      <w:r>
        <w:rPr>
          <w:rFonts w:ascii="Calibri" w:hAnsi="Calibri" w:eastAsia="Calibri" w:cs="Calibri"/>
          <w:i/>
          <w:iCs/>
          <w:color w:val="000000"/>
          <w:sz w:val="22"/>
          <w:szCs w:val="22"/>
        </w:rPr>
        <w:t xml:space="preserve">Gladiolus</w:t>
      </w:r>
      <w:r>
        <w:rPr>
          <w:rFonts w:ascii="Calibri" w:hAnsi="Calibri" w:eastAsia="Calibri" w:cs="Calibri"/>
          <w:color w:val="000000"/>
          <w:sz w:val="22"/>
          <w:szCs w:val="22"/>
        </w:rPr>
        <w:t xml:space="preserve">, peas, tomatoes, </w:t>
      </w:r>
      <w:r>
        <w:rPr>
          <w:rFonts w:ascii="Calibri" w:hAnsi="Calibri" w:eastAsia="Calibri" w:cs="Calibri"/>
          <w:i/>
          <w:iCs/>
          <w:color w:val="000000"/>
          <w:sz w:val="22"/>
          <w:szCs w:val="22"/>
        </w:rPr>
        <w:t xml:space="preserve">Capsicum</w:t>
      </w:r>
      <w:r>
        <w:rPr>
          <w:rFonts w:ascii="Calibri" w:hAnsi="Calibri" w:eastAsia="Calibri" w:cs="Calibri"/>
          <w:color w:val="000000"/>
          <w:sz w:val="22"/>
          <w:szCs w:val="22"/>
        </w:rPr>
        <w:t xml:space="preserve">, Cucurbitaceae and strawberries. Other hosts in the USA include: </w:t>
      </w:r>
      <w:r>
        <w:rPr>
          <w:rFonts w:ascii="Calibri" w:hAnsi="Calibri" w:eastAsia="Calibri" w:cs="Calibri"/>
          <w:i/>
          <w:iCs/>
          <w:color w:val="000000"/>
          <w:sz w:val="22"/>
          <w:szCs w:val="22"/>
        </w:rPr>
        <w:t xml:space="preserve">Beta</w:t>
      </w:r>
      <w:r>
        <w:rPr>
          <w:rFonts w:ascii="Calibri" w:hAnsi="Calibri" w:eastAsia="Calibri" w:cs="Calibri"/>
          <w:color w:val="000000"/>
          <w:sz w:val="22"/>
          <w:szCs w:val="22"/>
        </w:rPr>
        <w:t xml:space="preserve">, carrots, cotton, grapefruits, grapes, onions,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Purshia tridentata</w:t>
      </w:r>
      <w:r>
        <w:rPr>
          <w:rFonts w:ascii="Calibri" w:hAnsi="Calibri" w:eastAsia="Calibri" w:cs="Calibri"/>
          <w:color w:val="000000"/>
          <w:sz w:val="22"/>
          <w:szCs w:val="22"/>
        </w:rPr>
        <w:t xml:space="preserve">, safflower. In Europe it is generally found only on glasshouse crops on an ever-increasing range of host plants, but most commonly on chrysanthemums, </w:t>
      </w:r>
      <w:r>
        <w:rPr>
          <w:rFonts w:ascii="Calibri" w:hAnsi="Calibri" w:eastAsia="Calibri" w:cs="Calibri"/>
          <w:i/>
          <w:iCs/>
          <w:color w:val="000000"/>
          <w:sz w:val="22"/>
          <w:szCs w:val="22"/>
        </w:rPr>
        <w:t xml:space="preserve">Gerbera</w:t>
      </w:r>
      <w:r>
        <w:rPr>
          <w:rFonts w:ascii="Calibri" w:hAnsi="Calibri" w:eastAsia="Calibri" w:cs="Calibri"/>
          <w:color w:val="000000"/>
          <w:sz w:val="22"/>
          <w:szCs w:val="22"/>
        </w:rPr>
        <w:t xml:space="preserve">, roses and </w:t>
      </w:r>
      <w:r>
        <w:rPr>
          <w:rFonts w:ascii="Calibri" w:hAnsi="Calibri" w:eastAsia="Calibri" w:cs="Calibri"/>
          <w:i/>
          <w:iCs/>
          <w:color w:val="000000"/>
          <w:sz w:val="22"/>
          <w:szCs w:val="22"/>
        </w:rPr>
        <w:t xml:space="preserve">Saintpaulia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hybridus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spinosus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 subsp.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x ananassa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Gerbera jamesonii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Melampodium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x piperita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Purshia tridentata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large-flowered bush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 speciosa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fruit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herbaceous ornamental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vegetable plants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floridana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indigenous to North America (Canada, Mexico, continental USA). It began to spread internationally about 1980 and has now been reported from countries in all continents of the world.</w:t>
      </w:r>
    </w:p>
    <w:p>
      <w:r>
        <w:drawing>
          <wp:inline distT="0" distB="0" distL="0" distR="0">
            <wp:extent cx="6120000" cy="3067200"/>
            <wp:docPr id="33471518" name="name76336a65b0197378b" descr="FRANO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OC_distribution_map.jpg"/>
                    <pic:cNvPicPr/>
                  </pic:nvPicPr>
                  <pic:blipFill>
                    <a:blip r:embed="rId27976a65b0197378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Belarus, Belgium, Bosnia and Herzegovina, Bulgaria, Croatia, Cyprus, Czechia, Denmark, Estonia, Finland, France (mainland), Germany, Greece (mainland, Kriti), Guernsey, Hungary, Ireland, Israel, Italy (mainland, Sardegna, Sicilia), Jordan, Latvia, Lithuania, Malta, Moldova, Republic of, Montenegro, Morocco, Netherlands, North Macedonia, Norway, Poland, Portugal (mainland, Azores, Madeira), Romania, Russian Federation (Central Russia, Eastern Siberia, Far East, Southern Russia, Western Siberia), Serbia, Slovakia, Slovenia, Spain (mainland, Islas Baleares, Islas Canárias), Sweden, Switzerland, Tunisia, Türkiye, Ukraine, United Kingdom (Channel Islands, England, Scotland)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Burkina Faso, Egypt, Eswatini, Kenya, Morocco, Reunion, South Africa, Tunisia,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Beijing, Chongqing, Fujian, Gansu, Guangdong, Guangxi, Guizhou, Hainan, Hebei, Heilongjiang, Henan, Hubei, Hunan, Jiangsu, Jilin, Liaoning, Neimenggu, Ningxia, Shaanxi, Shandong, Sichuan, Tianjin, Xinjiang, Xizhang, Yunnan, Zhejiang), India (Karnataka, Tamil Nadu), Indonesia (Java), Iran, Islamic Republic of, Israel, Japan (Hokkaido, Honshu, Kyushu), Jordan, Korea, Republic of, Kuwait, Lebanon, Malaysia (West), Myanmar, Qatar, Sri Lanka,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Manitoba, Nova Scotia, Ontario, Québec, Saskatchewan), Mexico, United States of America (Alabama, Arizona, Arkansas, California, Colorado, Connecticut, Delaware, Florida, Georgia, Hawaii, Idaho, Illinois, Indiana, Iowa, Kansas, Kentucky, Louisiana, Maine, Maryland, Massachusetts, Michigan, Minnesota, Mississippi, Missouri, Montana, Nebraska, Nevada, New Jersey, New Mexico, New York, North Carolina, Ohio, Oklahoma, Oregon, Pennsylvania, South Carolina, South Dakota, Tennessee, Texas, Utah, Vermont, Virginia, Washington, West Virginia,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Dominican Republic, Guadeloupe, Guatemala, Honduras, Martinique, Panama,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Goias, Minas Gerais, Parana, Pernambuco, Rio de Janeiro, Rio Grande do Sul, Santa Catarina, Sao Paulo), Chile, Colombia, Ecuador (Galapagos), Guyana,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Tasmania, Victoria, Western Australia), New Caledonia,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reproduces throughout the year in glasshouse environments in the USA, producing as many as 12-15 generations per year (Bryan &amp; Smith, 1956; Lublinkhof &amp; Foster, 1977). The total life-cycle from egg to egg at 15, 20, 25 and 30°C is 44.1, 22.4, 18.2 and 15 days, respectively. Each female lays between 20 and 40 eggs. Pre-oviposition time is 10.4 days at 15°C and 2-4 days at both 20 and 30°C; highest reproductive rate (95.5 hatched eggs/female) is at 20°C.</w:t>
      </w:r>
    </w:p>
    <w:p>
      <w:pPr>
        <w:widowControl w:val="on"/>
        <w:pBdr/>
        <w:spacing w:before="220" w:after="220" w:line="240" w:lineRule="auto"/>
        <w:ind w:left="0" w:right="0"/>
        <w:jc w:val="left"/>
      </w:pPr>
      <w:r>
        <w:rPr>
          <w:rFonts w:ascii="Calibri" w:hAnsi="Calibri" w:eastAsia="Calibri" w:cs="Calibri"/>
          <w:color w:val="000000"/>
          <w:sz w:val="22"/>
          <w:szCs w:val="22"/>
        </w:rPr>
        <w:t xml:space="preserve">The eggs are inserted in the parenchyma cells of leaves, flower parts and fruits, and hatch in about 4 days at 27°C. This period is lengthened to 13 days at 15°C. The eggs are susceptible to desiccation, and high mortality at this stage is not uncommon. Adult thrips have been observed entering closed chrysanthemum buds, presumably to lay eggs, a behaviour pattern which makes control very difficult.</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four larval stages; the first two are active, feeding stages and the last two non-feeding, pre-pupal and pupal stages. The first-instar nymph emerges from the plant tissue head-first and feeding begins almost immediately. The first moult occurs within 1-3 days at 27°C (7 days at 15°C). Second-instar nymphs are very active and often seek enclosed sites for feeding. Development time for this stage varies from 3 days at 27°C to 12 days at 15°C.</w:t>
      </w:r>
    </w:p>
    <w:p>
      <w:pPr>
        <w:widowControl w:val="on"/>
        <w:pBdr/>
        <w:spacing w:before="220" w:after="220" w:line="240" w:lineRule="auto"/>
        <w:ind w:left="0" w:right="0"/>
        <w:jc w:val="left"/>
      </w:pPr>
      <w:r>
        <w:rPr>
          <w:rFonts w:ascii="Calibri" w:hAnsi="Calibri" w:eastAsia="Calibri" w:cs="Calibri"/>
          <w:color w:val="000000"/>
          <w:sz w:val="22"/>
          <w:szCs w:val="22"/>
        </w:rPr>
        <w:t xml:space="preserve">The second-instar nymph becomes progressively more sluggish, moults, and transforms into the early pseudopupa. The duration of this stage is one day at 27°C and four days at 15°C. The choice of pupation site varies; although usually in the soil it may also be in a flower. The greater the protection given by the flower structure, the greater the likelihood that this will be the chosen pupation site. The late pseudopupa moves very little. In a 30-day life-cycle, more than 10 days may be spent in this stage in the soil. The adult emerges after usually 2-9 days, depending on the temperature.</w:t>
      </w:r>
    </w:p>
    <w:p>
      <w:pPr>
        <w:widowControl w:val="on"/>
        <w:pBdr/>
        <w:spacing w:before="220" w:after="220" w:line="240" w:lineRule="auto"/>
        <w:ind w:left="0" w:right="0"/>
        <w:jc w:val="left"/>
      </w:pPr>
      <w:r>
        <w:rPr>
          <w:rFonts w:ascii="Calibri" w:hAnsi="Calibri" w:eastAsia="Calibri" w:cs="Calibri"/>
          <w:color w:val="000000"/>
          <w:sz w:val="22"/>
          <w:szCs w:val="22"/>
        </w:rPr>
        <w:t xml:space="preserve">The newly emerged adult female is relatively quiescent during the first 24 h, but becomes extremely active when mature. The female usually lives about 40 days under laboratory conditions but can survive as long as 90 days. The male lives half as long as the female. Oviposition normally begins 72 h after emergence and continues intermittently throughout almost all adult life. At 27°C, females lay a mean of 0.66 to 1.63 eggs per day. In a population, there are usually four times as many females as males. Males derive from unfertilized eggs, which can be produced by unmated females.</w:t>
      </w:r>
    </w:p>
    <w:p>
      <w:pPr>
        <w:widowControl w:val="on"/>
        <w:pBdr/>
        <w:spacing w:before="220" w:after="220" w:line="240" w:lineRule="auto"/>
        <w:ind w:left="0" w:right="0"/>
        <w:jc w:val="left"/>
      </w:pPr>
      <w:r>
        <w:rPr>
          <w:rFonts w:ascii="Calibri" w:hAnsi="Calibri" w:eastAsia="Calibri" w:cs="Calibri"/>
          <w:color w:val="000000"/>
          <w:sz w:val="22"/>
          <w:szCs w:val="22"/>
        </w:rPr>
        <w:t xml:space="preserve">In California (USA),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survives the winter outdoors, chiefly in the adult stage, although a few fully grown nymphs are occasionally found during the colder months in flower and leaf buds. There is a preponderance of females in the winter and early spring since the males are shorter-lived and apparently less resistant to winter conditions.</w:t>
      </w:r>
    </w:p>
    <w:p>
      <w:pPr>
        <w:widowControl w:val="on"/>
        <w:pBdr/>
        <w:spacing w:before="220" w:after="220" w:line="240" w:lineRule="auto"/>
        <w:ind w:left="0" w:right="0"/>
        <w:jc w:val="left"/>
      </w:pPr>
      <w:r>
        <w:rPr>
          <w:rFonts w:ascii="Calibri" w:hAnsi="Calibri" w:eastAsia="Calibri" w:cs="Calibri"/>
          <w:color w:val="000000"/>
          <w:sz w:val="22"/>
          <w:szCs w:val="22"/>
        </w:rPr>
        <w:t xml:space="preserve">In southern New Mexico (USA), a dry winter was found to be favourable for the successful overwintering of adult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Rain in spring and summer allowing good growth of vegetation resulted in a heavy thrips population. However the species is said to be the commonest flower thrips outdoors in coastal British Columbia (Canada), so it is clearly able to survive a damp and cool climate. So far it has not been shown to overwinter outdoors in Europe.</w:t>
      </w:r>
    </w:p>
    <w:p>
      <w:pPr>
        <w:widowControl w:val="on"/>
        <w:pBdr/>
        <w:spacing w:before="220" w:after="220" w:line="240" w:lineRule="auto"/>
        <w:ind w:left="0" w:right="0"/>
        <w:jc w:val="left"/>
      </w:pPr>
      <w:r>
        <w:rPr>
          <w:rFonts w:ascii="Calibri" w:hAnsi="Calibri" w:eastAsia="Calibri" w:cs="Calibri"/>
          <w:color w:val="000000"/>
          <w:sz w:val="22"/>
          <w:szCs w:val="22"/>
        </w:rPr>
        <w:t xml:space="preserve">In addition to feeding on plant tissues, nymphs and adult females of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are known to be omnivorous and will feed on the eggs of mites when these are abundant on plants.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a vector of tomato spotted wilt virus (TSWV) and of tobacco streak ilarvirus (TSV). Only the nymphs, and not the adults, can acquire the virus. The acquisition time is at least 30 min, and the insect becomes infective in 3-10 days (by which time it is usually adult). It then needs to feed for at least 15 min to transmit.</w:t>
      </w:r>
    </w:p>
    <w:p>
      <w:pPr>
        <w:widowControl w:val="on"/>
        <w:pBdr/>
        <w:spacing w:before="220" w:after="220" w:line="240" w:lineRule="auto"/>
        <w:ind w:left="0" w:right="0"/>
        <w:jc w:val="left"/>
      </w:pPr>
      <w:r>
        <w:rPr>
          <w:rFonts w:ascii="Calibri" w:hAnsi="Calibri" w:eastAsia="Calibri" w:cs="Calibri"/>
          <w:color w:val="000000"/>
          <w:sz w:val="22"/>
          <w:szCs w:val="22"/>
        </w:rPr>
        <w:t xml:space="preserve">It is possible that the rapid spread of the pest since about 1980 may follow a change in some aspect of its biology. The older literature should, accordingly, be treated with caution.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major symptoms of F. occidentalis infestation include a discoloration of the upper leaf surface, and indentation where damage occurs. The pattern of damage is coarser than damage by Thrips tabaci. Silvering, deformity, growth malfunction and brown bumps may also be present on the foliage of ornamental plants. 'Halo spotting', another symptom of thrips damage, consists of small dark scars surrounded by whitish tissue. On some host plants, e.g. Capsicum, oviposition causes a reaction of the surrounding plant tissue.</w:t>
      </w:r>
    </w:p>
    <w:p>
      <w:pPr>
        <w:widowControl w:val="on"/>
        <w:pBdr/>
        <w:spacing w:before="220" w:after="220" w:line="240" w:lineRule="auto"/>
        <w:ind w:left="0" w:right="0"/>
        <w:jc w:val="left"/>
      </w:pPr>
      <w:r>
        <w:rPr>
          <w:rFonts w:ascii="Calibri" w:hAnsi="Calibri" w:eastAsia="Calibri" w:cs="Calibri"/>
          <w:color w:val="000000"/>
          <w:sz w:val="22"/>
          <w:szCs w:val="22"/>
        </w:rPr>
        <w:t xml:space="preserve">Thrips feeding causes discoloration and scarring of open blooms and petals. It also results in deformation of buds if the feeding occurs before they start opening. Thrips damage can be distinguished from spider-mite damage by the appearance of liquid faecal deposits which cause dark-green speckling, whereas spider mites produce black granules.</w:t>
      </w:r>
    </w:p>
    <w:p>
      <w:pPr>
        <w:widowControl w:val="on"/>
        <w:pBdr/>
        <w:spacing w:before="220" w:after="220" w:line="240" w:lineRule="auto"/>
        <w:ind w:left="0" w:right="0"/>
        <w:jc w:val="left"/>
      </w:pPr>
      <w:r>
        <w:rPr>
          <w:rFonts w:ascii="Calibri" w:hAnsi="Calibri" w:eastAsia="Calibri" w:cs="Calibri"/>
          <w:color w:val="000000"/>
          <w:sz w:val="22"/>
          <w:szCs w:val="22"/>
        </w:rPr>
        <w:t xml:space="preserve">Eggs laid in petal tissue causes a 'pimpling' effect in flowers such as orchids.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Opaque, reniform and about 200 µm long.</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Nymph</w:t>
      </w:r>
    </w:p>
    <w:p>
      <w:pPr>
        <w:widowControl w:val="on"/>
        <w:pBdr/>
        <w:spacing w:before="220" w:after="220" w:line="240" w:lineRule="auto"/>
        <w:ind w:left="0" w:right="0"/>
        <w:jc w:val="left"/>
      </w:pPr>
      <w:r>
        <w:rPr>
          <w:rFonts w:ascii="Calibri" w:hAnsi="Calibri" w:eastAsia="Calibri" w:cs="Calibri"/>
          <w:color w:val="000000"/>
          <w:sz w:val="22"/>
          <w:szCs w:val="22"/>
        </w:rPr>
        <w:t xml:space="preserve">There are two instars, the first translucent and the second golden-yellow.</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The early pseudopupa is characterized by the appearance of wing pads and shortened, erect antennae.</w:t>
      </w:r>
    </w:p>
    <w:p>
      <w:pPr>
        <w:widowControl w:val="on"/>
        <w:pBdr/>
        <w:spacing w:before="220" w:after="220" w:line="240" w:lineRule="auto"/>
        <w:ind w:left="0" w:right="0"/>
        <w:jc w:val="left"/>
      </w:pPr>
      <w:r>
        <w:rPr>
          <w:rFonts w:ascii="Calibri" w:hAnsi="Calibri" w:eastAsia="Calibri" w:cs="Calibri"/>
          <w:color w:val="000000"/>
          <w:sz w:val="22"/>
          <w:szCs w:val="22"/>
        </w:rPr>
        <w:t xml:space="preserve">The late pseudopupa shows extreme reluctance to move; adult setal patterns start forming; wing sheaths longer; antennae turned backwards. Both pupal stages are white.</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A tiny (generally less than 2 mm long), slender insect with narrow fringed wings. The adult male thrips is smaller than the female, has a narrow abdomen with a rounded end and is pale-yellow (almost white). The adult female thrips has a more rounded abdomen ending in a point and the coloration can vary from yellow to brown. In America, three colour forms of F. occidentalis have been distinguished, pale, intermediate and dark, whose relative abundance differs according to the season. In spring, following the wet season, the dark form predominates; during the rest of the year the pale form is dominant. The intermediate form maintains a fairly constant proportion throughout the year. An explanation is that the dark form is better able to survive and is more active than the pale form during cold and wet periods. Only females express coloration phenotypically.</w:t>
      </w:r>
    </w:p>
    <w:p>
      <w:pPr>
        <w:widowControl w:val="on"/>
        <w:pBdr/>
        <w:spacing w:before="220" w:after="220" w:line="240" w:lineRule="auto"/>
        <w:ind w:left="0" w:right="0"/>
        <w:jc w:val="left"/>
      </w:pPr>
      <w:r>
        <w:rPr>
          <w:rFonts w:ascii="Calibri" w:hAnsi="Calibri" w:eastAsia="Calibri" w:cs="Calibri"/>
          <w:color w:val="000000"/>
          <w:sz w:val="22"/>
          <w:szCs w:val="22"/>
        </w:rPr>
        <w:t xml:space="preserve">The genus Frankliniella can be separated from other genera of thrips by means of the following characters: the principal vein of the anterior wing has regularly spaced bristles from the base to the apex (14-19 in F. occidentalis); the anterior edge of the prothorax carries a bristle pair clearly longer than the others; the antenna has eight segments (seven in Thrips). The separation into species is a task for experts (Moulton, 1948).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Thrips are easily carried into glasshouses by wind, making reinfestation a constant problem. They are also easily carried on clothes and hair, and on equipment and containers which have not been properly cleaned.</w:t>
      </w:r>
    </w:p>
    <w:p>
      <w:pPr>
        <w:widowControl w:val="on"/>
        <w:pBdr/>
        <w:spacing w:before="220" w:after="220" w:line="240" w:lineRule="auto"/>
        <w:ind w:left="0" w:right="0"/>
        <w:jc w:val="left"/>
      </w:pPr>
      <w:r>
        <w:rPr>
          <w:rFonts w:ascii="Calibri" w:hAnsi="Calibri" w:eastAsia="Calibri" w:cs="Calibri"/>
          <w:color w:val="000000"/>
          <w:sz w:val="22"/>
          <w:szCs w:val="22"/>
        </w:rPr>
        <w:t xml:space="preserve">Female thrips can be aggressive to one another. Perhaps because of this aggression, the generally secretive adults can be seen to run, jump and fly within a crop and this can result in even small populations becoming widespread within a glasshouse.</w:t>
      </w:r>
    </w:p>
    <w:p>
      <w:pPr>
        <w:widowControl w:val="on"/>
        <w:pBdr/>
        <w:spacing w:before="220" w:after="220" w:line="240" w:lineRule="auto"/>
        <w:ind w:left="0" w:right="0"/>
        <w:jc w:val="left"/>
      </w:pPr>
      <w:r>
        <w:rPr>
          <w:rFonts w:ascii="Calibri" w:hAnsi="Calibri" w:eastAsia="Calibri" w:cs="Calibri"/>
          <w:color w:val="000000"/>
          <w:sz w:val="22"/>
          <w:szCs w:val="22"/>
        </w:rPr>
        <w:t xml:space="preserve">Internationally,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is liable to be carried on any plants for planting or on cut flowers.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attacks the flowers and foliage of a great number of crops. Evidence of F. occidentalis damage can vary depending on the crop attacked and the growth stage of the plant at the time of attack. As well as feeding on plant fluids with their sucking mouthparts, F. occidentalis also eats the pollen and nectar of many plants, and the spreading of pollen during this feeding results in pollination and premature senescence - which can be a serious problem with certain ornamental crops such as Saintpaulia.</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is a very important pest of ornamental flower crops as it takes only a few individuals to scarthe marketable portion of the crop, the flower. Because of this, the thrips is a 'direct' pest of such crops, unlike other (indirect) pests such as mites or leafminers which generally attack the foliage, permitting control treatments to be applied before damage reduces the aesthetic quality of the crop.</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also attacks vegetables under glass and the decline in cucumber production in British Columbia (Canada) is attributed mainly to the spread of this pest. For example, in 1985, F. occidentalis was estimated to have caused a 20% yield loss in the glasshouse cucumber crop.</w:t>
      </w:r>
    </w:p>
    <w:p>
      <w:pPr>
        <w:widowControl w:val="on"/>
        <w:pBdr/>
        <w:spacing w:before="220" w:after="220" w:line="240" w:lineRule="auto"/>
        <w:ind w:left="0" w:right="0"/>
        <w:jc w:val="left"/>
      </w:pPr>
      <w:r>
        <w:rPr>
          <w:rFonts w:ascii="Calibri" w:hAnsi="Calibri" w:eastAsia="Calibri" w:cs="Calibri"/>
          <w:color w:val="000000"/>
          <w:sz w:val="22"/>
          <w:szCs w:val="22"/>
        </w:rPr>
        <w:t xml:space="preserve">In California (USA), F. occidentalis also causes damage outdoors, on lucerne (by larval feeding on flowers and young pods) and on fruit trees (by scarring and silvering the surface of the fruit, especially in Prunus). Nursery stock of fruit trees and roses is also damaged, the terminal buds being killed or weakened. A range of other crops in North America is damaged by this pest to a greater or lesser extent (see Hosts).</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has been associated with outbreaks of tomato spotted wilt virus (TSWV) on tomatoes in Ontario (Canada). The symptoms of this disease include stunting, distortion and mosaic mottling of leaves, and clearing of leaf veins and fruit. TSWV causes severe loss (50-90%) of lettuces in Hawaii (USA), particularly in the major vegetable-growing area of Kula. Twenty-five weed species found in Kula serve as reservoirs for F. occidentalis,17 of which may harbour TSWV. In lettuce fields there is a high correlation between thrips populations and TSWV incidence. In Louisiana (USA) the incidence of TSWV in tomato, pepper and tobacco crops has increased dramatically since about 1978. The infection can reach 60% in commercial fields and 100% in gardens. It is thought that the expanded geographical range of F. occidentalis into Louisiana is responsible for the increase of TSWV. However, it has also been suggested that the role of F. occidentalis as the vector of the virus in California has been over-emphasized, and that Thrips tabaci is probably more important.</w:t>
      </w:r>
    </w:p>
    <w:p>
      <w:pPr>
        <w:widowControl w:val="on"/>
        <w:pBdr/>
        <w:spacing w:before="220" w:after="220" w:line="240" w:lineRule="auto"/>
        <w:ind w:left="0" w:right="0"/>
        <w:jc w:val="left"/>
      </w:pPr>
      <w:r>
        <w:rPr>
          <w:rFonts w:ascii="Calibri" w:hAnsi="Calibri" w:eastAsia="Calibri" w:cs="Calibri"/>
          <w:color w:val="000000"/>
          <w:sz w:val="22"/>
          <w:szCs w:val="22"/>
        </w:rPr>
        <w:t xml:space="preserve">In the EPPO region, direct damage by F. occidentalis occurs entirely on glasshouse or protected ornamental and vegetable crops. On flower crops some silvering and distortion of leaves due to feeding may be noticeable. When present, the flowers are the preferred site for feeding. Petals may be scarred or discoloured. The thrips feeds also on the pollen and this may be dislodged to fall onto surrounding foliage. If this then becomes infected by sooty moulds, the general appearance of the plant is damaged. Knowledge of the damage caused by this thrips to ornamental foliage plants is limited. However, as the value of these plants is greatly reduced, even by slight damage, any infestation is liable to have an economic effect. F. occidentalis may affect most fruiting vegetables with the exception of tomatoes. Problems are most severe on cucumbers where the blossoms can be reduced or so extensively damaged that no fruit is produced. The cucumber fruits often show severe distortion.</w:t>
      </w:r>
    </w:p>
    <w:p>
      <w:pPr>
        <w:widowControl w:val="on"/>
        <w:pBdr/>
        <w:spacing w:before="220" w:after="220" w:line="240" w:lineRule="auto"/>
        <w:ind w:left="0" w:right="0"/>
        <w:jc w:val="left"/>
      </w:pPr>
      <w:r>
        <w:rPr>
          <w:rFonts w:ascii="Calibri" w:hAnsi="Calibri" w:eastAsia="Calibri" w:cs="Calibri"/>
          <w:color w:val="000000"/>
          <w:sz w:val="22"/>
          <w:szCs w:val="22"/>
        </w:rPr>
        <w:t xml:space="preserve">For a general bibliography of F. occidentalis, see Mantel (1989).</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Chemical control is particularly difficult because of the secretive habit of the species and because of the appearance of resistance. Introduction of the pest into glasshouses in Europe has severely interfered with the routine practice of integrated pest control. Control treatments must be supplemented by hygiene measures within glasshouses. Biological agents such as Amblyseius barkeri and Neoseiulus cucumeris have also been used.</w:t>
      </w:r>
    </w:p>
    <w:p>
      <w:pPr>
        <w:widowControl w:val="on"/>
        <w:pBdr/>
        <w:spacing w:before="220" w:after="220" w:line="240" w:lineRule="auto"/>
        <w:ind w:left="0" w:right="0"/>
        <w:jc w:val="left"/>
      </w:pPr>
      <w:r>
        <w:rPr>
          <w:rFonts w:ascii="Calibri" w:hAnsi="Calibri" w:eastAsia="Calibri" w:cs="Calibri"/>
          <w:color w:val="000000"/>
          <w:sz w:val="22"/>
          <w:szCs w:val="22"/>
        </w:rPr>
        <w:t xml:space="preserve">It is also quite possible that the thrips could damage outdoor crops in Mediterranean countries, and it has already been reported on outdoor crops in Spain. Moreover, the present spread of TSWV on ornamental and vegetable crops in Europe (EPPO/CABI, 1996) is most probably related to the wider distribution of F. occidentalis.</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color w:val="000000"/>
          <w:sz w:val="22"/>
          <w:szCs w:val="22"/>
        </w:rPr>
        <w:t xml:space="preserve">F. occidentalis is an EPPO A2 quarantine pest (OEPP/EPPO, 1989). It is also of quarantine significance for CPPC and OIRSA. Its introduction and rapid spread to many EPPO countries, and the problems presented by its presence in glasshouses, illustrate clearly the serious nature of this pest and the potential threat to the glasshouse industry in countries still free from the pest.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Treatments against </w:t>
      </w:r>
      <w:r>
        <w:rPr>
          <w:rFonts w:ascii="Calibri" w:hAnsi="Calibri" w:eastAsia="Calibri" w:cs="Calibri"/>
          <w:i/>
          <w:iCs/>
          <w:color w:val="000000"/>
          <w:sz w:val="22"/>
          <w:szCs w:val="22"/>
        </w:rPr>
        <w:t xml:space="preserve">F. occidentalis</w:t>
      </w:r>
      <w:r>
        <w:rPr>
          <w:rFonts w:ascii="Calibri" w:hAnsi="Calibri" w:eastAsia="Calibri" w:cs="Calibri"/>
          <w:color w:val="000000"/>
          <w:sz w:val="22"/>
          <w:szCs w:val="22"/>
        </w:rPr>
        <w:t xml:space="preserve"> on plants in transit are unlikely to be entirely successful because of the ability of the pest to secrete itself in small crevices and tightly closed plant parts, because the eggs are protected by the epidermis of the host, and because of the subterranean habit of certain stages. In addition, resistance has developed to certain pesticides. Accordingly, the only safe measure is to ensure that the place of production is free from the pest by appropriate inspection (OEPP/EPPO, 1990).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Bryan, D.E.; Smith, R.F. (1956) The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complex in California. </w:t>
      </w:r>
      <w:r>
        <w:rPr>
          <w:rFonts w:ascii="Calibri" w:hAnsi="Calibri" w:eastAsia="Calibri" w:cs="Calibri"/>
          <w:i/>
          <w:iCs/>
          <w:color w:val="000000"/>
          <w:sz w:val="22"/>
          <w:szCs w:val="22"/>
        </w:rPr>
        <w:t xml:space="preserve">University of California, Publications in Entomology</w:t>
      </w:r>
      <w:r>
        <w:rPr>
          <w:rFonts w:ascii="Calibri" w:hAnsi="Calibri" w:eastAsia="Calibri" w:cs="Calibri"/>
          <w:color w:val="000000"/>
          <w:sz w:val="22"/>
          <w:szCs w:val="22"/>
        </w:rPr>
        <w:t xml:space="preserve"> 10, 359-410.</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Tomato spotted wilt tospovirus.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 by Smith, I.M.; McNamara, D.G.; Scott, P.R.;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Lublinkhof, J.; Foster, D.E. (1977) Development and reproductive capacity of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reared at three temperatures. </w:t>
      </w:r>
      <w:r>
        <w:rPr>
          <w:rFonts w:ascii="Calibri" w:hAnsi="Calibri" w:eastAsia="Calibri" w:cs="Calibri"/>
          <w:i/>
          <w:iCs/>
          <w:color w:val="000000"/>
          <w:sz w:val="22"/>
          <w:szCs w:val="22"/>
        </w:rPr>
        <w:t xml:space="preserve">Journal of the Kansas Entomological Society</w:t>
      </w:r>
      <w:r>
        <w:rPr>
          <w:rFonts w:ascii="Calibri" w:hAnsi="Calibri" w:eastAsia="Calibri" w:cs="Calibri"/>
          <w:color w:val="000000"/>
          <w:sz w:val="22"/>
          <w:szCs w:val="22"/>
        </w:rPr>
        <w:t xml:space="preserve"> 50, 313-316.</w:t>
      </w:r>
    </w:p>
    <w:p>
      <w:pPr>
        <w:widowControl w:val="on"/>
        <w:pBdr/>
        <w:spacing w:before="220" w:after="220" w:line="240" w:lineRule="auto"/>
        <w:ind w:left="0" w:right="0"/>
        <w:jc w:val="left"/>
      </w:pPr>
      <w:r>
        <w:rPr>
          <w:rFonts w:ascii="Calibri" w:hAnsi="Calibri" w:eastAsia="Calibri" w:cs="Calibri"/>
          <w:color w:val="000000"/>
          <w:sz w:val="22"/>
          <w:szCs w:val="22"/>
        </w:rPr>
        <w:t xml:space="preserve">Mantel, W.P. (1989) Bibliography of the western flower thrips,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12, 29-66.</w:t>
      </w:r>
    </w:p>
    <w:p>
      <w:pPr>
        <w:widowControl w:val="on"/>
        <w:pBdr/>
        <w:spacing w:before="220" w:after="220" w:line="240" w:lineRule="auto"/>
        <w:ind w:left="0" w:right="0"/>
        <w:jc w:val="left"/>
      </w:pPr>
      <w:r>
        <w:rPr>
          <w:rFonts w:ascii="Calibri" w:hAnsi="Calibri" w:eastAsia="Calibri" w:cs="Calibri"/>
          <w:color w:val="000000"/>
          <w:sz w:val="22"/>
          <w:szCs w:val="22"/>
        </w:rPr>
        <w:t xml:space="preserve">Moulton, D. (1948) The genus </w:t>
      </w:r>
      <w:r>
        <w:rPr>
          <w:rFonts w:ascii="Calibri" w:hAnsi="Calibri" w:eastAsia="Calibri" w:cs="Calibri"/>
          <w:i/>
          <w:iCs/>
          <w:color w:val="000000"/>
          <w:sz w:val="22"/>
          <w:szCs w:val="22"/>
        </w:rPr>
        <w:t xml:space="preserve">Frankliniella</w:t>
      </w:r>
      <w:r>
        <w:rPr>
          <w:rFonts w:ascii="Calibri" w:hAnsi="Calibri" w:eastAsia="Calibri" w:cs="Calibri"/>
          <w:color w:val="000000"/>
          <w:sz w:val="22"/>
          <w:szCs w:val="22"/>
        </w:rPr>
        <w:t xml:space="preserve"> Karny, with keys for the determination of species. </w:t>
      </w:r>
      <w:r>
        <w:rPr>
          <w:rFonts w:ascii="Calibri" w:hAnsi="Calibri" w:eastAsia="Calibri" w:cs="Calibri"/>
          <w:i/>
          <w:iCs/>
          <w:color w:val="000000"/>
          <w:sz w:val="22"/>
          <w:szCs w:val="22"/>
        </w:rPr>
        <w:t xml:space="preserve">Review of Entomology</w:t>
      </w:r>
      <w:r>
        <w:rPr>
          <w:rFonts w:ascii="Calibri" w:hAnsi="Calibri" w:eastAsia="Calibri" w:cs="Calibri"/>
          <w:color w:val="000000"/>
          <w:sz w:val="22"/>
          <w:szCs w:val="22"/>
        </w:rPr>
        <w:t xml:space="preserve"> 10, 55-114.</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(1989) Data sheets on quarantine organisms No. 177,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19, 725-731.</w:t>
      </w:r>
    </w:p>
    <w:p>
      <w:pPr>
        <w:widowControl w:val="on"/>
        <w:pBdr/>
        <w:spacing w:before="220" w:after="220" w:line="240" w:lineRule="auto"/>
        <w:ind w:left="0" w:right="0"/>
        <w:jc w:val="left"/>
      </w:pPr>
      <w:r>
        <w:rPr>
          <w:rFonts w:ascii="Calibri" w:hAnsi="Calibri" w:eastAsia="Calibri" w:cs="Calibri"/>
          <w:color w:val="000000"/>
          <w:sz w:val="22"/>
          <w:szCs w:val="22"/>
        </w:rPr>
        <w:t xml:space="preserve">OEPP/EPPO (1990) Specific quarantine requirements. </w:t>
      </w:r>
      <w:r>
        <w:rPr>
          <w:rFonts w:ascii="Calibri" w:hAnsi="Calibri" w:eastAsia="Calibri" w:cs="Calibri"/>
          <w:i/>
          <w:iCs/>
          <w:color w:val="000000"/>
          <w:sz w:val="22"/>
          <w:szCs w:val="22"/>
        </w:rPr>
        <w:t xml:space="preserve">EPPO Technical Documents</w:t>
      </w:r>
      <w:r>
        <w:rPr>
          <w:rFonts w:ascii="Calibri" w:hAnsi="Calibri" w:eastAsia="Calibri" w:cs="Calibri"/>
          <w:color w:val="000000"/>
          <w:sz w:val="22"/>
          <w:szCs w:val="22"/>
        </w:rPr>
        <w:t xml:space="preserve"> No. 1008.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Frankliniella occidentalis</w:t>
      </w:r>
      <w:r>
        <w:rPr>
          <w:rFonts w:ascii="Calibri" w:hAnsi="Calibri" w:eastAsia="Calibri" w:cs="Calibri"/>
          <w:color w:val="000000"/>
          <w:sz w:val="22"/>
          <w:szCs w:val="22"/>
        </w:rPr>
        <w:t xml:space="preserve">. EPPO datasheets on pests recommended for regulation. Available online. </w:t>
      </w:r>
      <w:hyperlink r:id="rId10586a65b0197453e" w:history="1">
        <w:r>
          <w:rPr>
            <w:rFonts w:ascii="Calibri" w:hAnsi="Calibri" w:eastAsia="Calibri" w:cs="Calibri"/>
            <w:color w:val="0000CC"/>
            <w:sz w:val="22"/>
            <w:szCs w:val="22"/>
            <w:u w:val="single"/>
          </w:rPr>
          <w:t xml:space="preserve">https://gd.eppo.int</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199381">
    <w:multiLevelType w:val="hybridMultilevel"/>
    <w:lvl w:ilvl="0" w:tplc="97007072">
      <w:start w:val="1"/>
      <w:numFmt w:val="decimal"/>
      <w:lvlText w:val="%1."/>
      <w:lvlJc w:val="left"/>
      <w:pPr>
        <w:ind w:left="720" w:hanging="360"/>
      </w:pPr>
    </w:lvl>
    <w:lvl w:ilvl="1" w:tplc="97007072" w:tentative="1">
      <w:start w:val="1"/>
      <w:numFmt w:val="lowerLetter"/>
      <w:lvlText w:val="%2."/>
      <w:lvlJc w:val="left"/>
      <w:pPr>
        <w:ind w:left="1440" w:hanging="360"/>
      </w:pPr>
    </w:lvl>
    <w:lvl w:ilvl="2" w:tplc="97007072" w:tentative="1">
      <w:start w:val="1"/>
      <w:numFmt w:val="lowerRoman"/>
      <w:lvlText w:val="%3."/>
      <w:lvlJc w:val="right"/>
      <w:pPr>
        <w:ind w:left="2160" w:hanging="180"/>
      </w:pPr>
    </w:lvl>
    <w:lvl w:ilvl="3" w:tplc="97007072" w:tentative="1">
      <w:start w:val="1"/>
      <w:numFmt w:val="decimal"/>
      <w:lvlText w:val="%4."/>
      <w:lvlJc w:val="left"/>
      <w:pPr>
        <w:ind w:left="2880" w:hanging="360"/>
      </w:pPr>
    </w:lvl>
    <w:lvl w:ilvl="4" w:tplc="97007072" w:tentative="1">
      <w:start w:val="1"/>
      <w:numFmt w:val="lowerLetter"/>
      <w:lvlText w:val="%5."/>
      <w:lvlJc w:val="left"/>
      <w:pPr>
        <w:ind w:left="3600" w:hanging="360"/>
      </w:pPr>
    </w:lvl>
    <w:lvl w:ilvl="5" w:tplc="97007072" w:tentative="1">
      <w:start w:val="1"/>
      <w:numFmt w:val="lowerRoman"/>
      <w:lvlText w:val="%6."/>
      <w:lvlJc w:val="right"/>
      <w:pPr>
        <w:ind w:left="4320" w:hanging="180"/>
      </w:pPr>
    </w:lvl>
    <w:lvl w:ilvl="6" w:tplc="97007072" w:tentative="1">
      <w:start w:val="1"/>
      <w:numFmt w:val="decimal"/>
      <w:lvlText w:val="%7."/>
      <w:lvlJc w:val="left"/>
      <w:pPr>
        <w:ind w:left="5040" w:hanging="360"/>
      </w:pPr>
    </w:lvl>
    <w:lvl w:ilvl="7" w:tplc="97007072" w:tentative="1">
      <w:start w:val="1"/>
      <w:numFmt w:val="lowerLetter"/>
      <w:lvlText w:val="%8."/>
      <w:lvlJc w:val="left"/>
      <w:pPr>
        <w:ind w:left="5760" w:hanging="360"/>
      </w:pPr>
    </w:lvl>
    <w:lvl w:ilvl="8" w:tplc="97007072" w:tentative="1">
      <w:start w:val="1"/>
      <w:numFmt w:val="lowerRoman"/>
      <w:lvlText w:val="%9."/>
      <w:lvlJc w:val="right"/>
      <w:pPr>
        <w:ind w:left="6480" w:hanging="180"/>
      </w:pPr>
    </w:lvl>
  </w:abstractNum>
  <w:abstractNum w:abstractNumId="17199380">
    <w:multiLevelType w:val="hybridMultilevel"/>
    <w:lvl w:ilvl="0" w:tplc="436008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199380">
    <w:abstractNumId w:val="17199380"/>
  </w:num>
  <w:num w:numId="17199381">
    <w:abstractNumId w:val="1719938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4343508" Type="http://schemas.microsoft.com/office/2011/relationships/commentsExtended" Target="commentsExtended.xml"/><Relationship Id="rId206323675" Type="http://schemas.microsoft.com/office/2011/relationships/people" Target="people.xml"/><Relationship Id="rId39746a65b01971a9f" Type="http://schemas.openxmlformats.org/officeDocument/2006/relationships/hyperlink" Target="https://gd.eppo.int/taxon/FRANOC/" TargetMode="External"/><Relationship Id="rId79206a65b01971ae2" Type="http://schemas.openxmlformats.org/officeDocument/2006/relationships/hyperlink" Target="https://gd.eppo.int/taxon/FRANOC/categorization" TargetMode="External"/><Relationship Id="rId63406a65b01972291" Type="http://schemas.openxmlformats.org/officeDocument/2006/relationships/hyperlink" Target="https://gd.eppo.int/taxon/FRANOC/photos" TargetMode="External"/><Relationship Id="rId10586a65b0197453e" Type="http://schemas.openxmlformats.org/officeDocument/2006/relationships/hyperlink" Target="https://gd.eppo.int" TargetMode="External"/><Relationship Id="rId82186a65b0197214e" Type="http://schemas.openxmlformats.org/officeDocument/2006/relationships/image" Target="media/imgrId82186a65b0197214e.jpg"/><Relationship Id="rId27976a65b01973788" Type="http://schemas.openxmlformats.org/officeDocument/2006/relationships/image" Target="media/imgrId27976a65b0197378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