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Euwallacea fornicatus sensu stricto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2024-01-19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fornicatus sensu stricto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(Eichhoff)</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Scolytinae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Euwallacea whitfordiodendrus</w:t>
            </w:r>
            <w:r>
              <w:rPr>
                <w:rFonts w:ascii="Calibri" w:hAnsi="Calibri" w:eastAsia="Calibri" w:cs="Calibri"/>
                <w:color w:val="000000"/>
                <w:position w:val="-3"/>
                <w:sz w:val="22"/>
                <w:szCs w:val="22"/>
              </w:rPr>
              <w:t xml:space="preserve"> (Schedl), </w:t>
            </w:r>
            <w:r>
              <w:rPr>
                <w:rFonts w:ascii="Calibri" w:hAnsi="Calibri" w:eastAsia="Calibri" w:cs="Calibri"/>
                <w:i/>
                <w:iCs/>
                <w:color w:val="000000"/>
                <w:position w:val="-3"/>
                <w:sz w:val="22"/>
                <w:szCs w:val="22"/>
              </w:rPr>
              <w:t xml:space="preserve">Xyleborus fornicatus</w:t>
            </w:r>
            <w:r>
              <w:rPr>
                <w:rFonts w:ascii="Calibri" w:hAnsi="Calibri" w:eastAsia="Calibri" w:cs="Calibri"/>
                <w:color w:val="000000"/>
                <w:position w:val="-3"/>
                <w:sz w:val="22"/>
                <w:szCs w:val="22"/>
              </w:rPr>
              <w:t xml:space="preserve"> Eichhoff, </w:t>
            </w:r>
            <w:r>
              <w:rPr>
                <w:rFonts w:ascii="Calibri" w:hAnsi="Calibri" w:eastAsia="Calibri" w:cs="Calibri"/>
                <w:i/>
                <w:iCs/>
                <w:color w:val="000000"/>
                <w:position w:val="-3"/>
                <w:sz w:val="22"/>
                <w:szCs w:val="22"/>
              </w:rPr>
              <w:t xml:space="preserve">Xyleborus tapatapaoensis</w:t>
            </w:r>
            <w:r>
              <w:rPr>
                <w:rFonts w:ascii="Calibri" w:hAnsi="Calibri" w:eastAsia="Calibri" w:cs="Calibri"/>
                <w:color w:val="000000"/>
                <w:position w:val="-3"/>
                <w:sz w:val="22"/>
                <w:szCs w:val="22"/>
              </w:rPr>
              <w:t xml:space="preserve"> Schedl</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polyphagous shot-hole borer</w:t>
            </w:r>
            <w:hyperlink r:id="rId23196a472461231cd"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EUWAWH</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was originally described as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Eichhoff. Numerous other similar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were described and synonymized, and the species was assumed to be variable. After the invasion of different populations, it became clear that the variation assumed for the species corresponded to different cryptic species (Stouthamer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and the taxon was referred to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This complex was referred to by different common names, the polyphagous shot hole borer (PSHB), Kuroshio shot hole borer (KSHB) and tea shot hole borer (TSHB). After a review of the species complex using an integrated approach with morphometrics and molecular tools by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the syntype of </w:t>
      </w:r>
      <w:r>
        <w:rPr>
          <w:rFonts w:ascii="Calibri" w:hAnsi="Calibri" w:eastAsia="Calibri" w:cs="Calibri"/>
          <w:i/>
          <w:iCs/>
          <w:color w:val="000000"/>
          <w:sz w:val="22"/>
          <w:szCs w:val="22"/>
        </w:rPr>
        <w:t xml:space="preserve">Xyleborus fornicatus</w:t>
      </w:r>
      <w:r>
        <w:rPr>
          <w:rFonts w:ascii="Calibri" w:hAnsi="Calibri" w:eastAsia="Calibri" w:cs="Calibri"/>
          <w:color w:val="000000"/>
          <w:sz w:val="22"/>
          <w:szCs w:val="22"/>
        </w:rPr>
        <w:t xml:space="preserve"> was rediscovered and all of the species within the complex were validated by morphometric and phylogenetic analyses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species complex includes: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 fornicatior</w:t>
      </w:r>
      <w:r>
        <w:rPr>
          <w:rFonts w:ascii="Calibri" w:hAnsi="Calibri" w:eastAsia="Calibri" w:cs="Calibri"/>
          <w:color w:val="000000"/>
          <w:sz w:val="22"/>
          <w:szCs w:val="22"/>
        </w:rPr>
        <w:t xml:space="preserve"> (Eggers), </w:t>
      </w:r>
      <w:r>
        <w:rPr>
          <w:rFonts w:ascii="Calibri" w:hAnsi="Calibri" w:eastAsia="Calibri" w:cs="Calibri"/>
          <w:i/>
          <w:iCs/>
          <w:color w:val="000000"/>
          <w:sz w:val="22"/>
          <w:szCs w:val="22"/>
        </w:rPr>
        <w:t xml:space="preserve">E. kuroshio</w:t>
      </w:r>
      <w:r>
        <w:rPr>
          <w:rFonts w:ascii="Calibri" w:hAnsi="Calibri" w:eastAsia="Calibri" w:cs="Calibri"/>
          <w:color w:val="000000"/>
          <w:sz w:val="22"/>
          <w:szCs w:val="22"/>
        </w:rPr>
        <w:t xml:space="preserve"> Gomez and Hulcr, and </w:t>
      </w:r>
      <w:r>
        <w:rPr>
          <w:rFonts w:ascii="Calibri" w:hAnsi="Calibri" w:eastAsia="Calibri" w:cs="Calibri"/>
          <w:i/>
          <w:iCs/>
          <w:color w:val="000000"/>
          <w:sz w:val="22"/>
          <w:szCs w:val="22"/>
        </w:rPr>
        <w:t xml:space="preserve">E. perbrevis</w:t>
      </w:r>
      <w:r>
        <w:rPr>
          <w:rFonts w:ascii="Calibri" w:hAnsi="Calibri" w:eastAsia="Calibri" w:cs="Calibri"/>
          <w:color w:val="000000"/>
          <w:sz w:val="22"/>
          <w:szCs w:val="22"/>
        </w:rPr>
        <w:t xml:space="preserve"> (Schedl). These taxonomic changes shifted the species names associated with the widely used common names.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is therefore the ‘Polyphagous Shot Hole Borer’ and </w:t>
      </w:r>
      <w:r>
        <w:rPr>
          <w:rFonts w:ascii="Calibri" w:hAnsi="Calibri" w:eastAsia="Calibri" w:cs="Calibri"/>
          <w:i/>
          <w:iCs/>
          <w:color w:val="000000"/>
          <w:sz w:val="22"/>
          <w:szCs w:val="22"/>
        </w:rPr>
        <w:t xml:space="preserve">Euwallacea perbrevis</w:t>
      </w:r>
      <w:r>
        <w:rPr>
          <w:rFonts w:ascii="Calibri" w:hAnsi="Calibri" w:eastAsia="Calibri" w:cs="Calibri"/>
          <w:color w:val="000000"/>
          <w:sz w:val="22"/>
          <w:szCs w:val="22"/>
        </w:rPr>
        <w:t xml:space="preserve"> is the ‘Tea Shot Hole Borer’.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has a broad host range.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updated the list of hosts to 412 plant species in 75 families; 109 are reported as breeding hosts, 95 are commercial timber tree species and 43 are species used for fruit production. Recently, after the report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South America, new additional hosts were recorded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the United States (California), the beetles were found on more than 200 hosts, though only 19 of these were shown to be reproductive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auriculiformis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mangium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mearnsii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melanoxylon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retinodes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stenophylla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Acacia victoriae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Acaciella glauca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wilkesiana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buergerianum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campestre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caudatifolium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davidii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macrophyllum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negundo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obtusifolium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palmatum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paxii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pectinatum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pictum subsp. mono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platanoides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pseudoplatanus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saccharinum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Acer x freemanii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Adansonia digitata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falcatus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Afrocarpus gracilior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Afzelia quanzensis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Aglaia odorata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Agonis flexuosa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Ailanthus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Alangium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adianthifolia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julibrissin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kalkora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lebbeck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Albizia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Alectryon excelsus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Aleurites moluccanus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decussata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Allocasuarina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cordata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glutinosa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incana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jorullensis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Alnus rhombifolia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Aloysia virgata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Anisodontea scabrosa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Annona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Araucaria columnaris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Arbutus unedo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alexandrae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Archontophoenix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Bambusa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littoralis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prionotes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Banksia saxicola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forficata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petersiana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 var.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Bauhinia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Beilschmiedia miersii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Betula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Bischofia javanica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Blepharocalyx salicifolius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Bocconia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Bombax ceiba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Bossiaea linophylla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Bougainvillea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acerifolius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diversifolius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populneus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Brachychiton rupestris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Brachylaena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Broussonetia papyrifera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suaveolens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Brugmansia x candida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Buddleja saligna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Bunchosia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Bursera hindsiana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Buxus sempervirens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Caesalpinia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Callerya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Calliandra surinamensis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Calodendrum capense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Calpurnia aurea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chrysanthoides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drupifera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grijsii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hiemalis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indochinensis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rosiflora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semiserrata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Camellia x williamsii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Camptotheca acuminata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Cascabela thevetioides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brewsteri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fistula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Cassia leptophylla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Castanospermum australe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cunninghamiana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equisetifolia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Casuarina obesa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Catalpa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Ceanothus caeruleus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pentandra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Ceiba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Celtis 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Ceratonia siliqua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Cercis siliquastrum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Chamaedorea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Chionanthus retusus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Chiranthodendron pentadactylon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camphora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glanduliferum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Cinnamomum tenuifolium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montevidense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Citharexylum spinosum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 var. meyerii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Cleyera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laurifolius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Cocculus orbiculatus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Colletia paradoxa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erythrophyllum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Combretum kraussii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Commiphora harveyi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Coprosma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Cordyline stricta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controversa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Cornus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Corylus colurna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calophylla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Corymbia ficifolia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Crinodendron patagua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Cunninghamella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Cunonia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Cupaniopsis anacardioides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Cussonia spicata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Dahlstedtia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Dalbergia sissoo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Davidia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Delonix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Desmodium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dichrophylla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inconstans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kaki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lycioides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Diospyros whyteana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Diploglottis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cacuminum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rotundifolia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Dombeya tiliacea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Dovyalis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draco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marginata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Dracaena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Ebenopsis ebano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Ehretia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Ekebergia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decipiens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Elaeocarpus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Enterolobium contortisiliquum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Eriobotrya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chiriquensis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corallodendron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crista-galli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falcata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flabelliformis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folkersii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humeana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livingstoniana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lysistemon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variegata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bidwillii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Erythrina x sykesii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camaldulensis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cladocalyx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diversicolor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froggattii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globulus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gomphocephala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kitsoniana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leucoxylon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perriniana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polyanthemos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Eucalyptus torquata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tirucalli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crenata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Fagus sylvatica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Faidherbia albida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Feijoa sellowiana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altissima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aspera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benjamina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elastica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macrophylla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microcarpa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natalensis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obliqua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platypoda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religiosa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rubiginosa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sycomorus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Firmiana simplex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Frangula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 subsp. oxycarpa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angustifolia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excelsior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griffithii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uhdei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velutina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Gardenia thunbergia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Geijera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Geoffroea decorticans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Gleditsia triacanthos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banksii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olivacea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Grevillea robusta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Grewia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Gymnosporia buxifolia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multilineata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Hakea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Halleria lucida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Handroanthus impetiginosus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Harpephyllum caffrum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arborea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Harpullia pendula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Hauya elegans subsp.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Heliocarpus donnellsmithii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actinophyllum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Heptapleurum arboricola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Heteropterys purpurea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mutabilis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rosa-sinensis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tiliaceus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Homalanthus populifolius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Hovenia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Hymenosporum flavum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aquifolium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cornuta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latifolia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Ilex mitis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feuillei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uruguensis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Inga vera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cuspidifolia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Jacaranda mimosifolia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cinerea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 mcvaughii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Juglans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Juniperus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Kigelia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Kiggelaria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bipinnata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Koelreuteria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Lagunaria patersonia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Lambertia orbifolia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Leonotis leonurus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ovalifolium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sinense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Ligustrum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formosana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Liquidambar styraciflua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Liriodendron tulipifera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Lonchocarpus nitidus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Luehea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Lysiphyllum carronii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Macadamia integrifolia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Machilus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campbellii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compressa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cylindrica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delavayi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denudata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doltsopa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figo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foveolata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guatemalensis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hodgsonii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liliiflora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sargentiana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sharpii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sprengeri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tamaulipana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brooklynensis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loebneri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soulangeana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x 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Manihot esculenta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lophantha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quinquenervia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rhaphiophylla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teretifolia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Melaleuca viminalis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 azedarach</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Melianthus major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Metasequoia glyptostroboides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Mezoneuron kauaiense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Milicia excelsa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Murraya paniculata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laetevirens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Myrsine melanophloeos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articulata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caldenia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Neltuma glandulosa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Neolitsea sericea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Nuxia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Ochroma pyramidale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 subsp.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Olea europaea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Olinia ventosa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Olneya tesota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Oncoba spinosa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Osmanthus fragrans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Osteospermum moniliferum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Pararchidendron pruinosum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Parasenegalia visco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aculeata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Parkinsonia x sonorae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Paulownia tomentosa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Peltophorum africanum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Persea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Peumus boldus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Phellodendron amurense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Phoebe cavaleriei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Photinia x fraseri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douglasiana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Pipturus argenteus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Pistacia terebinthus subsp. palaestina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Pithecellobium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ligustrifolium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Pittosporum undulatum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occidentalis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orientalis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wrightii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Platanus x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Plumeria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Podalyria calyptrata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Podocarpus henkelii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brandegeei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euphratica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fremontii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simonii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trichocarpa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Protea mundii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armeniaca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avium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cerasoides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dulcis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ilicifolia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mume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 var. nucipersica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serrulata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Pseudobombax ellipticum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Pseudocydonia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Psidium guajava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aphylla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Psoralea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Pterocarya stenoptera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calleryana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kawakamii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Quararibea funebris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acutissima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agrifolia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brantii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calliprinos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castaneifolia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chihuahuensis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chrysolepis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dentata subsp.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engelmannii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frainetto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hartwissiana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ilex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infectoria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ithaburensis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lobata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look</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macrocarpa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myrsinifolia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petraea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pontica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 subsp. pedunculiflora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robur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rugosa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suber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rosacea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 x turneri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Rhamnus alaternus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Ricinocarpos pinifolius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Robinia pseudoacacia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Robinsonella discolor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acmophylla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babylonica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eastwoodiae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exigua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gooddingii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humboldtiana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laevigata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lasiolepis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mucronata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Sambucus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drummondii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Sapindus saponaria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longifolia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polygama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terebinthifolia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Schotia brachypetala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chirindensis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Searsia lancea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burkei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caffra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Senegalia galpinii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candolleana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racemosa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Senna x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granuloso-leprosum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mauritianum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Sparrmannia africana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Spyridium globulosum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Stenocarpus sinuatus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Sterculia quadrifida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Styphnolobium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cordatum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cumini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Syzygium smithii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Tamarindus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 cacalaco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Taxodium distichum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capensis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Tecoma stans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Templetonia retusa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Terminalia mantaly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Tetrapanax papyrifer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Tilia caroliniana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Tipuana tipu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Toona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Trema orientale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Triadica sebifera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emetica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Trichilia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davidiana var. japonica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glabra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parvifolia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Ulmus pumila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Ungnadia speciosa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campeachiana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caven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farnesiana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karroo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 var. woodii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Vachellia sieberiana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Vepris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Verbesina gigantea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Vernicia fordii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lantana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Viburnum odoratissimum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divaricata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Virgilia oroboides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Vitex trifolia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Wigandia urens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floribunda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Wisteria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Xylomelum occidentale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Xylosma congesta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carpinifolia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Zelkova serrata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Zenia insignis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jujuba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spina-christi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All species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are native to Asia and Oceania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considered to be native in China, Japan, Malaysia, Samoa, Sri Lanka, Taiwan, Thailand, and Vietnam, has been introduced into Argentina, Israel, South Africa, United States (California and Hawaii), and Europe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Rugman-Jones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Outbreaks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(species complex) reported in Europe correspond to findings in greenhouses: Poland (Poznan-2019), Italy (Merano-2020), Netherlands and Germany (Berlin and Erfurt-2021) (Schuler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 Poland, Italy, Erfurt (Germany) and the Netherlands, the eradication of the plants (or infested part of the plants) resulted in the successful eradication of the beetles, whereas the eradication process in Berlin is reported to be still in progress.</w:t>
      </w:r>
    </w:p>
    <w:p>
      <w:r>
        <w:drawing>
          <wp:inline distT="0" distB="0" distL="0" distR="0">
            <wp:extent cx="6120000" cy="3067200"/>
            <wp:docPr id="25454938" name="name25296a47246128dc2" descr="EUWAWH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WAWH_distribution_map.jpg"/>
                    <pic:cNvPicPr/>
                  </pic:nvPicPr>
                  <pic:blipFill>
                    <a:blip r:embed="rId18346a47246128db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Germany, Israel, Spain (mainland),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(Chongqing, Guizhou, Xianggang (Hong Kong), Yunnan), India (Uttar Pradesh, West Bengal), Israel, Japan (Ryukyu Archipelago), Malaysia (Sabah), Sri Lanka,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(California, Hawaii)</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(Ceara, Minas Gerais, Parana, Rio Grande do Sul, Santa Catarina, Sao Paulo), Uruguay</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(Western Australia), Samoa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Most ambrosia beetle species attack only plants that died recently or are dying. However, a few species, including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colonize healthy trees and cause damage through mass accumulation (Hulcr and Stelinski, 2017), where tree pathogens producing localized necrosis cause a significant amount of damage when inoculated by a large number of beetles (Smith &amp; Hulcr, 2015).</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this species will typically make a divided or simple gallery encircling the stem, with a few longitudinal tunnels in small branches (Browne, 1961). Eggs are laid individually or in small clusters once the entrance tunnel has been completed. Diploid females produce haploid male offspring from unfertilized eggs, as is the case for other ambrosia beetles in the tribe Xyleborini. Newly emerged females stay in the galleries for several days where they are fertilized by the few brothers present. After mating, females leave the gallery through the original entrance hole (Browne, 1961). Adults develop in 22 days at 24°C (75°F), producing 57 female adults in 6 weeks, 7% of which are males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which has three instars (as typical of Xyleborini), feed entirely on symbiotic ambrosia fungi cultivated in longitudinal galleries of twigs and transverse galleries of thicker branches (Gadd, 1941). The fungi are transported to new trees in specialized pocket-like structures called mycangia (Batra, 1967). The fungi are obligate symbionts of the beetles and serve as their source of nutrition, with severe pathogenic effects for some plant species.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symbiotic fungus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is associated with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causing branch dieback once introduced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Freeman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The symbiotic fungus invades the tree vascular tissue, causing cambial necrosis, sugar or gum exudates, branch dieback, and mortality of a broad range of tree hosts (Eskalen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are very small, round and partly translucent, with a smooth surface. They are laid singly or in groups. Freshly laid eggs are pale, but they gradually darken before eclosion, hatching in 4 to 6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mature larva is about 3.5 mm long and 1.1 mm wide (Gardner, 1964). Larvae are white, legless, C-shaped, with a reddish head, taking 16-18 days to pupate. The head is colourless, about 0.5 mm wide, with the anterior margin nearly straight. The body integument is smooth except for a few scattered minute spicules.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Pupae are similar in size to the adults and are white. Adults emerge after 7-9 days.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Females of the genus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can only be distinguished from other Xyleborini by a combination of characters including unarmed pronotal margin, contiguous procoxae, having an obliquely costate dorsolateral margin of the pronotum, semicircular foretibiae, and have only sparse setae and small declivital denticles (Gomez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To identify specifically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several morphological characters can be used, and all specimens fit within these measurement ranges (Smith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Total length is 2.60 mm − 2.70 mm. Elytral length of 1.44–1.72 mm, 8–9 socketed denticles in the margin of protibial. The pronotal width is 1.00–1.14 mm and the elytral width is 0.48–0.62 mm.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not attracted to ethanol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Quercivorol and α-copaene have shown to be attractants, with synergistic effects increasing captures when combined (Dodge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Sticky panels and black interception traps have been shown to be more efficient at capturing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than Lindgren traps (Kendra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Cooperband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suggested the existence of two pheromones, 2-heneicosanone and 2-tricosanone. Pheromones have rarely been reported for ambrosia beetles within the Scolytinae with just a few known examples (Borden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Borden &amp; Slater, 1969; Francke &amp; Heemann, 1974); these are probably involved in social behaviour inside galleries and the ecological and applied implications are yet to be tested.</w:t>
      </w:r>
    </w:p>
    <w:p>
      <w:pPr>
        <w:widowControl w:val="on"/>
        <w:pBdr/>
        <w:spacing w:before="220" w:after="220" w:line="240" w:lineRule="auto"/>
        <w:ind w:left="0" w:right="0"/>
        <w:jc w:val="both"/>
      </w:pPr>
      <w:r>
        <w:rPr>
          <w:rFonts w:ascii="Calibri" w:hAnsi="Calibri" w:eastAsia="Calibri" w:cs="Calibri"/>
          <w:color w:val="000000"/>
          <w:sz w:val="22"/>
          <w:szCs w:val="22"/>
        </w:rPr>
        <w:t xml:space="preserve">Potential hosts, such as avocado, should be surveyed periodically for trees showing branch dieback and signs of beetle attack at junctions of small and mid-size shaded branches showing the presence of exit holes which have been described as white ‘sugar volcanoes’. Compacted frass and sawdust are also a (non-specific) sign of infestation, typically seen in the base of branches and in the trunk.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Active flight is one of the main means of movement to previously uninfested areas. Adult females can fly up to 400 m, but usually will attack hosts in a range of 35 m. However, the movement of timber and wood packaging material, such as dunnage and crating, has led to increasing transport and establishment of ambrosia beetles. The main pathway for ambrosia beetles such as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is wood packaging material and timber trade. Movements of infested host plants for planting can also transport all stages of the pest; attacks can be found on branches as small as 2 cm in diameter.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economic impacts have been reported in Argentina, South Africa, California, Israel, and throughout Asia.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bores and tunnels into the trunk, stems and branches of healthy trees and causes damage through mass accumulation. Females usually colonize the base of secondary branches, resulting in localized branch dieback. Additionally, aside from negatively impacting the tree’s health, these attacks weaken its structure, posing a potential hazard to both people and property.</w:t>
      </w:r>
    </w:p>
    <w:p>
      <w:pPr>
        <w:widowControl w:val="on"/>
        <w:pBdr/>
        <w:spacing w:before="220" w:after="220" w:line="240" w:lineRule="auto"/>
        <w:ind w:left="0" w:right="0"/>
        <w:jc w:val="both"/>
      </w:pPr>
      <w:r>
        <w:rPr>
          <w:rFonts w:ascii="Calibri" w:hAnsi="Calibri" w:eastAsia="Calibri" w:cs="Calibri"/>
          <w:color w:val="000000"/>
          <w:sz w:val="22"/>
          <w:szCs w:val="22"/>
        </w:rPr>
        <w:t xml:space="preserve">In Israel,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has caused severe impacts to the avocado industry (Mendel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In South Africa, it is considered the most damaging tree pest introduced in the country, with high impacts in urban environments (Paap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 Argentina, it was found colonizing the main trunks and the base of secondary branches of maples, although other hosts were reported (Ceriani-Nakamurakare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This colonization led to localized branch dieback and/or structural damage within a span of less than 12 months, while complete tree death typically occurs around 24 months. In California (United States), it poses a great ecological and environmental threat to infested areas by attacking a wide range of ornamental, and agriculturally important hardwood species hosts (Chen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Management is based on early detection, sanitation measures and preventive measures. Infested branches should be removed and destroyed (chipped, burned or buried). Heavily infested trees need to be destroyed (chipped, burned, or covered by a tarp under direct sun for ‘solarization’). Solarization works best using polyethylene sheeting during high temperature months, with ambient temperatures at least 35°C (95°F) (Jones &amp; Paine, 2015).</w:t>
      </w:r>
    </w:p>
    <w:p>
      <w:pPr>
        <w:widowControl w:val="on"/>
        <w:pBdr/>
        <w:spacing w:before="220" w:after="220" w:line="240" w:lineRule="auto"/>
        <w:ind w:left="0" w:right="0"/>
        <w:jc w:val="both"/>
      </w:pPr>
      <w:r>
        <w:rPr>
          <w:rFonts w:ascii="Calibri" w:hAnsi="Calibri" w:eastAsia="Calibri" w:cs="Calibri"/>
          <w:color w:val="000000"/>
          <w:sz w:val="22"/>
          <w:szCs w:val="22"/>
        </w:rPr>
        <w:t xml:space="preserve">Injecting systemic insecticides can help with protection of high-value ornamental trees. Preventative treatments with emamectin benzoate alone (systemic insecticide) or combined with propiconazole (systemic fungicide), reduces significantly the attack and colonization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(Grosman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Injection into trees that are already infested typically does not work. Preventative insecticide sprays on bark surface work for ambrosia beetles, but need to be re-applied frequently because the effect only lasts between 4 and 8 weeks. Bark penetrant should be used to assure an extended effect.</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A very wide range of host plants have been recorded for many of the species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and related genera. Any woody material of a suitable size and moisture content may be infested. The direct risk of establishment of populations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into areas of the world outside its present distribution, and particularly into further tropical and subtropical parts of Africa and the Americas, should be considered as a serious threat to natural and planted ecosystems. In the EPPO region, incursions in glasshouses show that pathways for entry do exist, and the presence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in Israel demonstrates that the pest has the potential to establish and cause damage on avocadoes in the Southern part of the region. Following a pest risk analysis, it has been considered that this insect (and its associated symbiont) was a serious threat to fruit crops and other woody plants grown for agricultural, forestry, and ornamental purposes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increasing global movement of commodities has increased significantly the transport of </w:t>
      </w:r>
      <w:r>
        <w:rPr>
          <w:rFonts w:ascii="Calibri" w:hAnsi="Calibri" w:eastAsia="Calibri" w:cs="Calibri"/>
          <w:i/>
          <w:iCs/>
          <w:color w:val="000000"/>
          <w:sz w:val="22"/>
          <w:szCs w:val="22"/>
        </w:rPr>
        <w:t xml:space="preserve">E. fornicatus</w:t>
      </w:r>
      <w:r>
        <w:rPr>
          <w:rFonts w:ascii="Calibri" w:hAnsi="Calibri" w:eastAsia="Calibri" w:cs="Calibri"/>
          <w:color w:val="000000"/>
          <w:sz w:val="22"/>
          <w:szCs w:val="22"/>
        </w:rPr>
        <w:t xml:space="preserve"> and related species in timber and wood packaging material, such as dunnage and crating. International Standards for Phytosanitary Measures No. 15 (ISPM 15) provides guidance for establishing measures to reduce the risk of pests associated with all types of wood packaging material. ISPM 15 affects all wood packaging material (pallets, crates, dunnage, etc.) and requires that they be debarked and then treated, and stamped or branded with a mark of compliance. Round wood or sawn wood (with or without bark) of host trees, as well as wood chips and other wooden products, should come from a pest free area or should have been treated to eliminate the pest. For host plants for planting, it may be required that they should originate from pest-free areas or pest-free production sites where plants are grown under physical isolation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Batra LR (1967) Ambrosia fungi: A taxonomic revision, and nutritional studies of some species.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(6), 976–1017. </w:t>
      </w:r>
      <w:hyperlink r:id="rId12956a47246129b0d" w:history="1">
        <w:r>
          <w:rPr>
            <w:rFonts w:ascii="Calibri" w:hAnsi="Calibri" w:eastAsia="Calibri" w:cs="Calibri"/>
            <w:color w:val="0000CC"/>
            <w:sz w:val="22"/>
            <w:szCs w:val="22"/>
            <w:u w:val="single"/>
          </w:rPr>
          <w:t xml:space="preserve">https://doi.org/10.1080/00275514.1967.12018485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Chong L, McLean JA, Slessor KN &amp; Mori K (1976) </w:t>
      </w:r>
      <w:r>
        <w:rPr>
          <w:rFonts w:ascii="Calibri" w:hAnsi="Calibri" w:eastAsia="Calibri" w:cs="Calibri"/>
          <w:i/>
          <w:iCs/>
          <w:color w:val="000000"/>
          <w:sz w:val="22"/>
          <w:szCs w:val="22"/>
        </w:rPr>
        <w:t xml:space="preserve">Gnathotrichus sulcatus</w:t>
      </w:r>
      <w:r>
        <w:rPr>
          <w:rFonts w:ascii="Calibri" w:hAnsi="Calibri" w:eastAsia="Calibri" w:cs="Calibri"/>
          <w:color w:val="000000"/>
          <w:sz w:val="22"/>
          <w:szCs w:val="22"/>
        </w:rPr>
        <w:t xml:space="preserve">: Synergistic response to enantiomers of the aggregation pheromone sulcatol. </w:t>
      </w:r>
      <w:r>
        <w:rPr>
          <w:rFonts w:ascii="Calibri" w:hAnsi="Calibri" w:eastAsia="Calibri" w:cs="Calibri"/>
          <w:i/>
          <w:iCs/>
          <w:color w:val="000000"/>
          <w:sz w:val="22"/>
          <w:szCs w:val="22"/>
        </w:rPr>
        <w:t xml:space="preserve">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192</w:t>
      </w:r>
      <w:r>
        <w:rPr>
          <w:rFonts w:ascii="Calibri" w:hAnsi="Calibri" w:eastAsia="Calibri" w:cs="Calibri"/>
          <w:color w:val="000000"/>
          <w:sz w:val="22"/>
          <w:szCs w:val="22"/>
        </w:rPr>
        <w:t xml:space="preserve">(4242), 894–896. </w:t>
      </w:r>
      <w:hyperlink r:id="rId52996a47246129bb3" w:history="1">
        <w:r>
          <w:rPr>
            <w:rFonts w:ascii="Calibri" w:hAnsi="Calibri" w:eastAsia="Calibri" w:cs="Calibri"/>
            <w:color w:val="0000CC"/>
            <w:sz w:val="22"/>
            <w:szCs w:val="22"/>
            <w:u w:val="single"/>
          </w:rPr>
          <w:t xml:space="preserve">https://doi.org/10.1126/science.1273573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Borden JH &amp; Slater CE (1969) Sex pheromone of </w:t>
      </w:r>
      <w:r>
        <w:rPr>
          <w:rFonts w:ascii="Calibri" w:hAnsi="Calibri" w:eastAsia="Calibri" w:cs="Calibri"/>
          <w:i/>
          <w:iCs/>
          <w:color w:val="000000"/>
          <w:sz w:val="22"/>
          <w:szCs w:val="22"/>
        </w:rPr>
        <w:t xml:space="preserve">Trypodendron lineatum</w:t>
      </w:r>
      <w:r>
        <w:rPr>
          <w:rFonts w:ascii="Calibri" w:hAnsi="Calibri" w:eastAsia="Calibri" w:cs="Calibri"/>
          <w:color w:val="000000"/>
          <w:sz w:val="22"/>
          <w:szCs w:val="22"/>
        </w:rPr>
        <w:t xml:space="preserve">: Production in the female hindgut-Malpighian tubule region. </w:t>
      </w:r>
      <w:r>
        <w:rPr>
          <w:rFonts w:ascii="Calibri" w:hAnsi="Calibri" w:eastAsia="Calibri" w:cs="Calibri"/>
          <w:i/>
          <w:iCs/>
          <w:color w:val="000000"/>
          <w:sz w:val="22"/>
          <w:szCs w:val="22"/>
        </w:rPr>
        <w:t xml:space="preserve">Annals of the Entomological Society of America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(2), 454–455. </w:t>
      </w:r>
      <w:hyperlink r:id="rId58466a47246129c48" w:history="1">
        <w:r>
          <w:rPr>
            <w:rFonts w:ascii="Calibri" w:hAnsi="Calibri" w:eastAsia="Calibri" w:cs="Calibri"/>
            <w:color w:val="0000CC"/>
            <w:sz w:val="22"/>
            <w:szCs w:val="22"/>
            <w:u w:val="single"/>
          </w:rPr>
          <w:t xml:space="preserve">https://doi.org/10.1093/aesa/62.2.454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Browne FG (1961) The generic characters, habits and taxonomic status of </w:t>
      </w:r>
      <w:r>
        <w:rPr>
          <w:rFonts w:ascii="Calibri" w:hAnsi="Calibri" w:eastAsia="Calibri" w:cs="Calibri"/>
          <w:i/>
          <w:iCs/>
          <w:color w:val="000000"/>
          <w:sz w:val="22"/>
          <w:szCs w:val="22"/>
        </w:rPr>
        <w:t xml:space="preserve">Premnobius</w:t>
      </w:r>
      <w:r>
        <w:rPr>
          <w:rFonts w:ascii="Calibri" w:hAnsi="Calibri" w:eastAsia="Calibri" w:cs="Calibri"/>
          <w:color w:val="000000"/>
          <w:sz w:val="22"/>
          <w:szCs w:val="22"/>
        </w:rPr>
        <w:t xml:space="preserve"> Eichhoff (Coleoptera, Scolytidae). </w:t>
      </w:r>
      <w:r>
        <w:rPr>
          <w:rFonts w:ascii="Calibri" w:hAnsi="Calibri" w:eastAsia="Calibri" w:cs="Calibri"/>
          <w:i/>
          <w:iCs/>
          <w:color w:val="000000"/>
          <w:sz w:val="22"/>
          <w:szCs w:val="22"/>
        </w:rPr>
        <w:t xml:space="preserve">Fourth WATBRU Report,</w:t>
      </w:r>
      <w:r>
        <w:rPr>
          <w:rFonts w:ascii="Calibri" w:hAnsi="Calibri" w:eastAsia="Calibri" w:cs="Calibri"/>
          <w:color w:val="000000"/>
          <w:sz w:val="22"/>
          <w:szCs w:val="22"/>
        </w:rPr>
        <w:t xml:space="preserve"> 45–51.</w:t>
      </w:r>
    </w:p>
    <w:p>
      <w:pPr>
        <w:widowControl w:val="on"/>
        <w:pBdr/>
        <w:spacing w:before="220" w:after="220" w:line="240" w:lineRule="auto"/>
        <w:ind w:left="0" w:right="0"/>
        <w:jc w:val="left"/>
      </w:pPr>
      <w:r>
        <w:rPr>
          <w:rFonts w:ascii="Calibri" w:hAnsi="Calibri" w:eastAsia="Calibri" w:cs="Calibri"/>
          <w:color w:val="000000"/>
          <w:sz w:val="22"/>
          <w:szCs w:val="22"/>
        </w:rPr>
        <w:t xml:space="preserve">Ceriani-Nakamurakare E, Johnson AJ &amp; Gomez DF (2023) Uncharted territories: First report of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in South America with new reproductive hosts records. </w:t>
      </w:r>
      <w:r>
        <w:rPr>
          <w:rFonts w:ascii="Calibri" w:hAnsi="Calibri" w:eastAsia="Calibri" w:cs="Calibri"/>
          <w:i/>
          <w:iCs/>
          <w:color w:val="000000"/>
          <w:sz w:val="22"/>
          <w:szCs w:val="22"/>
        </w:rPr>
        <w:t xml:space="preserve">Zootaxa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5325</w:t>
      </w:r>
      <w:r>
        <w:rPr>
          <w:rFonts w:ascii="Calibri" w:hAnsi="Calibri" w:eastAsia="Calibri" w:cs="Calibri"/>
          <w:color w:val="000000"/>
          <w:sz w:val="22"/>
          <w:szCs w:val="22"/>
        </w:rPr>
        <w:t xml:space="preserve">(2), 289–297. </w:t>
      </w:r>
      <w:hyperlink r:id="rId89176a47246129d3c" w:history="1">
        <w:r>
          <w:rPr>
            <w:rFonts w:ascii="Calibri" w:hAnsi="Calibri" w:eastAsia="Calibri" w:cs="Calibri"/>
            <w:color w:val="0000CC"/>
            <w:sz w:val="22"/>
            <w:szCs w:val="22"/>
            <w:u w:val="single"/>
          </w:rPr>
          <w:t xml:space="preserve">https://doi.org/10.11646/zootaxa.5325.2.10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Chen Y, Coleman TW, Poloni AL, Nelson L &amp; Seybold SJ (2020) Reproduction and control of the invasive polyphagous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in three species of hardwoods: Effective sanitation through felling and chipping. </w:t>
      </w:r>
      <w:r>
        <w:rPr>
          <w:rFonts w:ascii="Calibri" w:hAnsi="Calibri" w:eastAsia="Calibri" w:cs="Calibri"/>
          <w:i/>
          <w:iCs/>
          <w:color w:val="000000"/>
          <w:sz w:val="22"/>
          <w:szCs w:val="22"/>
        </w:rPr>
        <w:t xml:space="preserve">Environmental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(5), 1155-1163. </w:t>
      </w:r>
      <w:hyperlink r:id="rId27806a47246129dee" w:history="1">
        <w:r>
          <w:rPr>
            <w:rFonts w:ascii="Calibri" w:hAnsi="Calibri" w:eastAsia="Calibri" w:cs="Calibri"/>
            <w:color w:val="0000CC"/>
            <w:sz w:val="22"/>
            <w:szCs w:val="22"/>
            <w:u w:val="single"/>
          </w:rPr>
          <w:t xml:space="preserve">https://doi.org/10.1093/ee/nvaa103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Cosse AA, Jones TH, Carrillo D, Cleary K, Canlas I &amp; Stouthamer R (2017) Pheromones of three ambrosia beetles 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Ratios and preferences.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e3957. </w:t>
      </w:r>
      <w:hyperlink r:id="rId51656a47246129e7f" w:history="1">
        <w:r>
          <w:rPr>
            <w:rFonts w:ascii="Calibri" w:hAnsi="Calibri" w:eastAsia="Calibri" w:cs="Calibri"/>
            <w:color w:val="0000CC"/>
            <w:sz w:val="22"/>
            <w:szCs w:val="22"/>
            <w:u w:val="single"/>
          </w:rPr>
          <w:t xml:space="preserve">https://doi.org/10.7717/peerj.3957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Cooperband MF, Stouthamer R, Carrillo D, Eskalen A, Thibault T, Cossé AA, Castrillo LA, Vandenberg JD &amp; Rugman-Jones PF (2016) Biology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recently invasive in the U.S.A., reared on an ambrosia beetle artificial diet.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(3), 223–237. </w:t>
      </w:r>
      <w:hyperlink r:id="rId12266a47246129f13" w:history="1">
        <w:r>
          <w:rPr>
            <w:rFonts w:ascii="Calibri" w:hAnsi="Calibri" w:eastAsia="Calibri" w:cs="Calibri"/>
            <w:color w:val="0000CC"/>
            <w:sz w:val="22"/>
            <w:szCs w:val="22"/>
            <w:u w:val="single"/>
          </w:rPr>
          <w:t xml:space="preserve">https://doi.org/10.1111/afe.12155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Dodge C, Coolidge J, Cooperband M, Cossé A, Carrillo D &amp; Stouthamer R (2017) Quercivorol as a lure for the polyphagous and Kuroshio shot hole borers,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spp.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Scolytinae), vectors of Fusarium dieback.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e3656. </w:t>
      </w:r>
      <w:hyperlink r:id="rId55956a47246129fd4" w:history="1">
        <w:r>
          <w:rPr>
            <w:rFonts w:ascii="Calibri" w:hAnsi="Calibri" w:eastAsia="Calibri" w:cs="Calibri"/>
            <w:color w:val="0000CC"/>
            <w:sz w:val="22"/>
            <w:szCs w:val="22"/>
            <w:u w:val="single"/>
          </w:rPr>
          <w:t xml:space="preserve">https://doi.org/10.7717/peerj.3656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Report of a Pest Risk Analysis for </w:t>
      </w:r>
      <w:r>
        <w:rPr>
          <w:rFonts w:ascii="Calibri" w:hAnsi="Calibri" w:eastAsia="Calibri" w:cs="Calibri"/>
          <w:i/>
          <w:iCs/>
          <w:color w:val="000000"/>
          <w:sz w:val="22"/>
          <w:szCs w:val="22"/>
        </w:rPr>
        <w:t xml:space="preserve">Euwallacea fornicatus sensu lato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Fusarium euwallaceae</w:t>
      </w:r>
      <w:r>
        <w:rPr>
          <w:rFonts w:ascii="Calibri" w:hAnsi="Calibri" w:eastAsia="Calibri" w:cs="Calibri"/>
          <w:color w:val="000000"/>
          <w:sz w:val="22"/>
          <w:szCs w:val="22"/>
        </w:rPr>
        <w:t xml:space="preserve"> (revised version), 8 pp. Available from </w:t>
      </w:r>
      <w:hyperlink r:id="rId87986a4724612a048" w:history="1">
        <w:r>
          <w:rPr>
            <w:rFonts w:ascii="Calibri" w:hAnsi="Calibri" w:eastAsia="Calibri" w:cs="Calibri"/>
            <w:color w:val="0000CC"/>
            <w:sz w:val="22"/>
            <w:szCs w:val="22"/>
            <w:u w:val="single"/>
          </w:rPr>
          <w:t xml:space="preserve">https://pra.eppo.int/pra/4880c445-9ca7-485a-9e3a-edde73e472fa</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Gonzalez A, Wang DH, Twizeyimana M, Mayorquin SJ &amp; Lynch SC (2012) First report of a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sp.and its vector tea shot hole borer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causing fusarium dieback on avocado in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(7), 1070. </w:t>
      </w:r>
      <w:hyperlink r:id="rId36836a4724612a0fc" w:history="1">
        <w:r>
          <w:rPr>
            <w:rFonts w:ascii="Calibri" w:hAnsi="Calibri" w:eastAsia="Calibri" w:cs="Calibri"/>
            <w:color w:val="0000CC"/>
            <w:sz w:val="22"/>
            <w:szCs w:val="22"/>
            <w:u w:val="single"/>
          </w:rPr>
          <w:t xml:space="preserve">https://doi.org/10.1094/PDIS-03-12-0276-PDN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Eskalen A, Stouthamer R, Lynch SC, Rugman-Jones PF, Twizeyimana M, Gonzalez A &amp; Thibault T (2013) Host range of Fusarium dieback and its ambrosia beetle (Coleoptera: Scolytinae) vector in Southern California.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(7), 938–951. </w:t>
      </w:r>
      <w:hyperlink r:id="rId93316a4724612a16e" w:history="1">
        <w:r>
          <w:rPr>
            <w:rFonts w:ascii="Calibri" w:hAnsi="Calibri" w:eastAsia="Calibri" w:cs="Calibri"/>
            <w:color w:val="0000CC"/>
            <w:sz w:val="22"/>
            <w:szCs w:val="22"/>
            <w:u w:val="single"/>
          </w:rPr>
          <w:t xml:space="preserve">https://doi.org/10.1094/PDIS-11-12-1026-RE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Francke W &amp; Heemann V (1974) Lockversuche bei </w:t>
      </w:r>
      <w:r>
        <w:rPr>
          <w:rFonts w:ascii="Calibri" w:hAnsi="Calibri" w:eastAsia="Calibri" w:cs="Calibri"/>
          <w:i/>
          <w:iCs/>
          <w:color w:val="000000"/>
          <w:sz w:val="22"/>
          <w:szCs w:val="22"/>
        </w:rPr>
        <w:t xml:space="preserve">Xyloterus domesticus</w:t>
      </w:r>
      <w:r>
        <w:rPr>
          <w:rFonts w:ascii="Calibri" w:hAnsi="Calibri" w:eastAsia="Calibri" w:cs="Calibri"/>
          <w:color w:val="000000"/>
          <w:sz w:val="22"/>
          <w:szCs w:val="22"/>
        </w:rPr>
        <w:t xml:space="preserve"> L. und </w:t>
      </w:r>
      <w:r>
        <w:rPr>
          <w:rFonts w:ascii="Calibri" w:hAnsi="Calibri" w:eastAsia="Calibri" w:cs="Calibri"/>
          <w:i/>
          <w:iCs/>
          <w:color w:val="000000"/>
          <w:sz w:val="22"/>
          <w:szCs w:val="22"/>
        </w:rPr>
        <w:t xml:space="preserve">X. lineatus</w:t>
      </w:r>
      <w:r>
        <w:rPr>
          <w:rFonts w:ascii="Calibri" w:hAnsi="Calibri" w:eastAsia="Calibri" w:cs="Calibri"/>
          <w:color w:val="000000"/>
          <w:sz w:val="22"/>
          <w:szCs w:val="22"/>
        </w:rPr>
        <w:t xml:space="preserve"> Oliv. (Coleoptera: Scolytidae) mit 3-Hydroxy-3-methylbutan-2-on. </w:t>
      </w:r>
      <w:r>
        <w:rPr>
          <w:rFonts w:ascii="Calibri" w:hAnsi="Calibri" w:eastAsia="Calibri" w:cs="Calibri"/>
          <w:i/>
          <w:iCs/>
          <w:color w:val="000000"/>
          <w:sz w:val="22"/>
          <w:szCs w:val="22"/>
        </w:rPr>
        <w:t xml:space="preserve">Zeitschrift Für Angewandte Entomologie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75</w:t>
      </w:r>
      <w:r>
        <w:rPr>
          <w:rFonts w:ascii="Calibri" w:hAnsi="Calibri" w:eastAsia="Calibri" w:cs="Calibri"/>
          <w:color w:val="000000"/>
          <w:sz w:val="22"/>
          <w:szCs w:val="22"/>
        </w:rPr>
        <w:t xml:space="preserve">(1–4), 67–72. </w:t>
      </w:r>
      <w:hyperlink r:id="rId61576a4724612a221" w:history="1">
        <w:r>
          <w:rPr>
            <w:rFonts w:ascii="Calibri" w:hAnsi="Calibri" w:eastAsia="Calibri" w:cs="Calibri"/>
            <w:color w:val="0000CC"/>
            <w:sz w:val="22"/>
            <w:szCs w:val="22"/>
            <w:u w:val="single"/>
          </w:rPr>
          <w:t xml:space="preserve">https://doi.org/10.1111/j.1439-0418.1974.tb01827.x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Freeman S, Sharon M, Maymon M, Mendel Z, Protasov A, Aoki T, Eskalen A, &amp; O’Donnell K (2013)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sp. nov. — A symbiotic fungus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an invasive ambrosia beetle in Israel and California. </w:t>
      </w:r>
      <w:r>
        <w:rPr>
          <w:rFonts w:ascii="Calibri" w:hAnsi="Calibri" w:eastAsia="Calibri" w:cs="Calibri"/>
          <w:i/>
          <w:iCs/>
          <w:color w:val="000000"/>
          <w:sz w:val="22"/>
          <w:szCs w:val="22"/>
        </w:rPr>
        <w:t xml:space="preserve">Mycologia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105</w:t>
      </w:r>
      <w:r>
        <w:rPr>
          <w:rFonts w:ascii="Calibri" w:hAnsi="Calibri" w:eastAsia="Calibri" w:cs="Calibri"/>
          <w:color w:val="000000"/>
          <w:sz w:val="22"/>
          <w:szCs w:val="22"/>
        </w:rPr>
        <w:t xml:space="preserve">(6), 1595–1606. </w:t>
      </w:r>
      <w:hyperlink r:id="rId80486a4724612a2d3" w:history="1">
        <w:r>
          <w:rPr>
            <w:rFonts w:ascii="Calibri" w:hAnsi="Calibri" w:eastAsia="Calibri" w:cs="Calibri"/>
            <w:color w:val="0000CC"/>
            <w:sz w:val="22"/>
            <w:szCs w:val="22"/>
            <w:u w:val="single"/>
          </w:rPr>
          <w:t xml:space="preserve">https://doi.org/10.3852/13-066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Gadd CH (1941) Observation on an attack by shot-hole borer on tea. </w:t>
      </w:r>
      <w:r>
        <w:rPr>
          <w:rFonts w:ascii="Calibri" w:hAnsi="Calibri" w:eastAsia="Calibri" w:cs="Calibri"/>
          <w:i/>
          <w:iCs/>
          <w:color w:val="000000"/>
          <w:sz w:val="22"/>
          <w:szCs w:val="22"/>
        </w:rPr>
        <w:t xml:space="preserve">Tea Quarterly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132-146.</w:t>
      </w:r>
    </w:p>
    <w:p>
      <w:pPr>
        <w:widowControl w:val="on"/>
        <w:pBdr/>
        <w:spacing w:before="220" w:after="220" w:line="240" w:lineRule="auto"/>
        <w:ind w:left="0" w:right="0"/>
        <w:jc w:val="left"/>
      </w:pPr>
      <w:r>
        <w:rPr>
          <w:rFonts w:ascii="Calibri" w:hAnsi="Calibri" w:eastAsia="Calibri" w:cs="Calibri"/>
          <w:color w:val="000000"/>
          <w:sz w:val="22"/>
          <w:szCs w:val="22"/>
        </w:rPr>
        <w:t xml:space="preserve">Gardner JCM (1964) Immature stages of Indian Coleoptera (15) (Scolytidae). </w:t>
      </w:r>
      <w:r>
        <w:rPr>
          <w:rFonts w:ascii="Calibri" w:hAnsi="Calibri" w:eastAsia="Calibri" w:cs="Calibri"/>
          <w:i/>
          <w:iCs/>
          <w:color w:val="000000"/>
          <w:sz w:val="22"/>
          <w:szCs w:val="22"/>
        </w:rPr>
        <w:t xml:space="preserve">Indian Forest Records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(8), 17.</w:t>
      </w:r>
    </w:p>
    <w:p>
      <w:pPr>
        <w:widowControl w:val="on"/>
        <w:pBdr/>
        <w:spacing w:before="220" w:after="220" w:line="240" w:lineRule="auto"/>
        <w:ind w:left="0" w:right="0"/>
        <w:jc w:val="left"/>
      </w:pPr>
      <w:r>
        <w:rPr>
          <w:rFonts w:ascii="Calibri" w:hAnsi="Calibri" w:eastAsia="Calibri" w:cs="Calibri"/>
          <w:color w:val="000000"/>
          <w:sz w:val="22"/>
          <w:szCs w:val="22"/>
        </w:rPr>
        <w:t xml:space="preserve">Gomez DF, Lin W, Gao L &amp; Li Y (2019) New host plant records for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(Eichhoff) species complex (Coleoptera: Curculionidae: Scolytinae) across its natural and introduced distribution. </w:t>
      </w:r>
      <w:r>
        <w:rPr>
          <w:rFonts w:ascii="Calibri" w:hAnsi="Calibri" w:eastAsia="Calibri" w:cs="Calibri"/>
          <w:i/>
          <w:iCs/>
          <w:color w:val="000000"/>
          <w:sz w:val="22"/>
          <w:szCs w:val="22"/>
        </w:rPr>
        <w:t xml:space="preserve">Journal of Asia-Pacific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22</w:t>
      </w:r>
      <w:r>
        <w:rPr>
          <w:rFonts w:ascii="Calibri" w:hAnsi="Calibri" w:eastAsia="Calibri" w:cs="Calibri"/>
          <w:color w:val="000000"/>
          <w:sz w:val="22"/>
          <w:szCs w:val="22"/>
        </w:rPr>
        <w:t xml:space="preserve">(1), 338–340. </w:t>
      </w:r>
      <w:hyperlink r:id="rId82826a4724612a42e" w:history="1">
        <w:r>
          <w:rPr>
            <w:rFonts w:ascii="Calibri" w:hAnsi="Calibri" w:eastAsia="Calibri" w:cs="Calibri"/>
            <w:color w:val="0000CC"/>
            <w:sz w:val="22"/>
            <w:szCs w:val="22"/>
            <w:u w:val="single"/>
          </w:rPr>
          <w:t xml:space="preserve">https://doi.org/10.1016/j.aspen.2019.01.013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Rabaglia RJ, Fairbanks KEO &amp; Hulcr J (2018) North American Xyleborini north of Mexico: A review and key to genera and species (Coleoptera, Curculionidae, Scolytinae).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768</w:t>
      </w:r>
      <w:r>
        <w:rPr>
          <w:rFonts w:ascii="Calibri" w:hAnsi="Calibri" w:eastAsia="Calibri" w:cs="Calibri"/>
          <w:color w:val="000000"/>
          <w:sz w:val="22"/>
          <w:szCs w:val="22"/>
        </w:rPr>
        <w:t xml:space="preserve">, 19–68. </w:t>
      </w:r>
      <w:hyperlink r:id="rId40356a4724612a49f" w:history="1">
        <w:r>
          <w:rPr>
            <w:rFonts w:ascii="Calibri" w:hAnsi="Calibri" w:eastAsia="Calibri" w:cs="Calibri"/>
            <w:color w:val="0000CC"/>
            <w:sz w:val="22"/>
            <w:szCs w:val="22"/>
            <w:u w:val="single"/>
          </w:rPr>
          <w:t xml:space="preserve">https://doi.org/10.3897/zookeys.768.24697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Gomez DF, Skelton J, Steininger MS, Stouthamer R, Rugman-Jones P, Sittichaya W, Rabaglia RJ &amp; Hulcr J (2018) Species delineation within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complex revealed by morphometric and phylogenetic analyses. </w:t>
      </w:r>
      <w:r>
        <w:rPr>
          <w:rFonts w:ascii="Calibri" w:hAnsi="Calibri" w:eastAsia="Calibri" w:cs="Calibri"/>
          <w:i/>
          <w:iCs/>
          <w:color w:val="000000"/>
          <w:sz w:val="22"/>
          <w:szCs w:val="22"/>
        </w:rPr>
        <w:t xml:space="preserve">Insect Systematics and 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(6), 1–11. </w:t>
      </w:r>
      <w:hyperlink r:id="rId92276a4724612a533" w:history="1">
        <w:r>
          <w:rPr>
            <w:rFonts w:ascii="Calibri" w:hAnsi="Calibri" w:eastAsia="Calibri" w:cs="Calibri"/>
            <w:color w:val="0000CC"/>
            <w:sz w:val="22"/>
            <w:szCs w:val="22"/>
            <w:u w:val="single"/>
          </w:rPr>
          <w:t xml:space="preserve">https://doi.org/10.1093/isd/ixy018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Grosman DM, Eskalen A &amp; Brownie C (2019) Evaluation of emamectin benzoate and propiconazole for management of a new invasive shot hole borer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and symbiotic fungi in California sycamores.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(3), 1267-1273. </w:t>
      </w:r>
      <w:hyperlink r:id="rId92486a4724612a5e5" w:history="1">
        <w:r>
          <w:rPr>
            <w:rFonts w:ascii="Calibri" w:hAnsi="Calibri" w:eastAsia="Calibri" w:cs="Calibri"/>
            <w:color w:val="0000CC"/>
            <w:sz w:val="22"/>
            <w:szCs w:val="22"/>
            <w:u w:val="single"/>
          </w:rPr>
          <w:t xml:space="preserve">https://doi.org/10.1093/jee/toy423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Hulcr J &amp; Stelinski LL (2017) The ambrosia symbiosis: from evolutionary ecology to practical management.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285-303.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M &amp; Paine TD (2015) Effect of chipping and solarization on emergence and boring activity of a recently introduced ambrosia beetle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sp., Coleoptera: Curculionidae: Scolytinae) in Southern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(4), 1852–1859. </w:t>
      </w:r>
      <w:hyperlink r:id="rId53226a4724612a6df" w:history="1">
        <w:r>
          <w:rPr>
            <w:rFonts w:ascii="Calibri" w:hAnsi="Calibri" w:eastAsia="Calibri" w:cs="Calibri"/>
            <w:color w:val="0000CC"/>
            <w:sz w:val="22"/>
            <w:szCs w:val="22"/>
            <w:u w:val="single"/>
          </w:rPr>
          <w:t xml:space="preserve">https://doi.org/10.1093/jee/tov169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Kendra PE, Montgomery WS, Narvaez TI &amp; Carrillo D (2019) Comparison of trap designs for detection of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nr.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and other Scolytinae (Coleoptera: Curculionidae) that vector fungal pathogens of avocado trees in Florida.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(2), 980-987. </w:t>
      </w:r>
      <w:hyperlink r:id="rId37996a4724612a794" w:history="1">
        <w:r>
          <w:rPr>
            <w:rFonts w:ascii="Calibri" w:hAnsi="Calibri" w:eastAsia="Calibri" w:cs="Calibri"/>
            <w:color w:val="0000CC"/>
            <w:sz w:val="22"/>
            <w:szCs w:val="22"/>
            <w:u w:val="single"/>
          </w:rPr>
          <w:t xml:space="preserve">https://doi.org/10.1093/jee/toz311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Mendel Z, Protasov A, Sharon M, Zveibil A, Yehuda SB, O’Donnell K, Rabaglia R, Wysoki M &amp; Freeman S (2012) An Asian ambrosia beetle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and its novel symbiotic fungus </w:t>
      </w:r>
      <w:r>
        <w:rPr>
          <w:rFonts w:ascii="Calibri" w:hAnsi="Calibri" w:eastAsia="Calibri" w:cs="Calibri"/>
          <w:i/>
          <w:iCs/>
          <w:color w:val="000000"/>
          <w:sz w:val="22"/>
          <w:szCs w:val="22"/>
        </w:rPr>
        <w:t xml:space="preserve">Fusarium</w:t>
      </w:r>
      <w:r>
        <w:rPr>
          <w:rFonts w:ascii="Calibri" w:hAnsi="Calibri" w:eastAsia="Calibri" w:cs="Calibri"/>
          <w:color w:val="000000"/>
          <w:sz w:val="22"/>
          <w:szCs w:val="22"/>
        </w:rPr>
        <w:t xml:space="preserve"> sp. pose a serious threat to the Israeli avocado industry.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(3), 235–238. </w:t>
      </w:r>
      <w:hyperlink r:id="rId90476a4724612a847" w:history="1">
        <w:r>
          <w:rPr>
            <w:rFonts w:ascii="Calibri" w:hAnsi="Calibri" w:eastAsia="Calibri" w:cs="Calibri"/>
            <w:color w:val="0000CC"/>
            <w:sz w:val="22"/>
            <w:szCs w:val="22"/>
            <w:u w:val="single"/>
          </w:rPr>
          <w:t xml:space="preserve">https://doi.org/10.1007/s12600-012-0223-7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de Beer ZW, Migliorini D, Nel WJ &amp; Wingfield MJ (2018) The polyphagous shot hole borer (PSHB) and its fungal symbiont </w:t>
      </w:r>
      <w:r>
        <w:rPr>
          <w:rFonts w:ascii="Calibri" w:hAnsi="Calibri" w:eastAsia="Calibri" w:cs="Calibri"/>
          <w:i/>
          <w:iCs/>
          <w:color w:val="000000"/>
          <w:sz w:val="22"/>
          <w:szCs w:val="22"/>
        </w:rPr>
        <w:t xml:space="preserve">Fusarium euwallaceae</w:t>
      </w:r>
      <w:r>
        <w:rPr>
          <w:rFonts w:ascii="Calibri" w:hAnsi="Calibri" w:eastAsia="Calibri" w:cs="Calibri"/>
          <w:color w:val="000000"/>
          <w:sz w:val="22"/>
          <w:szCs w:val="22"/>
        </w:rPr>
        <w:t xml:space="preserve">: A new invasion in South Africa.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(2), 231–237. </w:t>
      </w:r>
      <w:hyperlink r:id="rId88706a4724612a8d7" w:history="1">
        <w:r>
          <w:rPr>
            <w:rFonts w:ascii="Calibri" w:hAnsi="Calibri" w:eastAsia="Calibri" w:cs="Calibri"/>
            <w:color w:val="0000CC"/>
            <w:sz w:val="22"/>
            <w:szCs w:val="22"/>
            <w:u w:val="single"/>
          </w:rPr>
          <w:t xml:space="preserve">https://doi.org/10.1007/s13313-018-0545-0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Paap T, Wingfield MJ, de Beer ZW &amp; Roets F (2020) Lessons from a major pest invasion: The polyphagous shot hole borer in South Africa. </w:t>
      </w:r>
      <w:r>
        <w:rPr>
          <w:rFonts w:ascii="Calibri" w:hAnsi="Calibri" w:eastAsia="Calibri" w:cs="Calibri"/>
          <w:i/>
          <w:iCs/>
          <w:color w:val="000000"/>
          <w:sz w:val="22"/>
          <w:szCs w:val="22"/>
        </w:rPr>
        <w:t xml:space="preserve">South African Journal of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116</w:t>
      </w:r>
      <w:r>
        <w:rPr>
          <w:rFonts w:ascii="Calibri" w:hAnsi="Calibri" w:eastAsia="Calibri" w:cs="Calibri"/>
          <w:color w:val="000000"/>
          <w:sz w:val="22"/>
          <w:szCs w:val="22"/>
        </w:rPr>
        <w:t xml:space="preserve">(11/12), 10–13. </w:t>
      </w:r>
      <w:hyperlink r:id="rId41116a4724612a94b" w:history="1">
        <w:r>
          <w:rPr>
            <w:rFonts w:ascii="Calibri" w:hAnsi="Calibri" w:eastAsia="Calibri" w:cs="Calibri"/>
            <w:color w:val="0000CC"/>
            <w:sz w:val="22"/>
            <w:szCs w:val="22"/>
            <w:u w:val="single"/>
          </w:rPr>
          <w:t xml:space="preserve">https://doi.org/10.17159/sajs.2020/8757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Rugman-Jones PF, Au M, Ebrahimi V, Eskalen A, Gillett CPDT, Honsberger D, Husein D, Wright MG, Yousuf F, &amp; Stouthamer R (2020) One becomes two: Second species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is established on two Hawaiian Islands. </w:t>
      </w:r>
      <w:r>
        <w:rPr>
          <w:rFonts w:ascii="Calibri" w:hAnsi="Calibri" w:eastAsia="Calibri" w:cs="Calibri"/>
          <w:i/>
          <w:iCs/>
          <w:color w:val="000000"/>
          <w:sz w:val="22"/>
          <w:szCs w:val="22"/>
        </w:rPr>
        <w:t xml:space="preserve">PeerJ</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e9987. </w:t>
      </w:r>
      <w:hyperlink r:id="rId63346a4724612a9dc" w:history="1">
        <w:r>
          <w:rPr>
            <w:rFonts w:ascii="Calibri" w:hAnsi="Calibri" w:eastAsia="Calibri" w:cs="Calibri"/>
            <w:color w:val="0000CC"/>
            <w:sz w:val="22"/>
            <w:szCs w:val="22"/>
            <w:u w:val="single"/>
          </w:rPr>
          <w:t xml:space="preserve">https://doi.org/10.7717/peerj.9987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Schuler H, Witkowski R, van de Vossenberg B, Hoppe B, Mittelbach M, Bukovinszki T, Schwembacher S, van de Meulengraaf B, Lange U, Rode S, Andriolo A, Bełka M, Mazur A &amp; Battisti A (2022) Recent invasion and eradication of two members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species complex (Coleoptera: Curculionidae: Scolytinae) from tropical greenhouses in Europe.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(2), 299–307. </w:t>
      </w:r>
      <w:hyperlink r:id="rId75126a4724612aa71" w:history="1">
        <w:r>
          <w:rPr>
            <w:rFonts w:ascii="Calibri" w:hAnsi="Calibri" w:eastAsia="Calibri" w:cs="Calibri"/>
            <w:color w:val="0000CC"/>
            <w:sz w:val="22"/>
            <w:szCs w:val="22"/>
            <w:u w:val="single"/>
          </w:rPr>
          <w:t xml:space="preserve">https://doi.org/10.1007/s10530-022-02929-w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Gomez DF, Beaver RA, Hulcr J &amp; Cognato AI (2019) Reassessment of the species in the </w:t>
      </w:r>
      <w:r>
        <w:rPr>
          <w:rFonts w:ascii="Calibri" w:hAnsi="Calibri" w:eastAsia="Calibri" w:cs="Calibri"/>
          <w:i/>
          <w:iCs/>
          <w:color w:val="000000"/>
          <w:sz w:val="22"/>
          <w:szCs w:val="22"/>
        </w:rPr>
        <w:t xml:space="preserve">Euwallacea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fornicatus</w:t>
      </w:r>
      <w:r>
        <w:rPr>
          <w:rFonts w:ascii="Calibri" w:hAnsi="Calibri" w:eastAsia="Calibri" w:cs="Calibri"/>
          <w:color w:val="000000"/>
          <w:sz w:val="22"/>
          <w:szCs w:val="22"/>
        </w:rPr>
        <w:t xml:space="preserve"> (Coleoptera: Curculionidae: Scolytinae) complex after the rediscovery of the ‘lost’ type specimen. </w:t>
      </w:r>
      <w:r>
        <w:rPr>
          <w:rFonts w:ascii="Calibri" w:hAnsi="Calibri" w:eastAsia="Calibri" w:cs="Calibri"/>
          <w:i/>
          <w:iCs/>
          <w:color w:val="000000"/>
          <w:sz w:val="22"/>
          <w:szCs w:val="22"/>
        </w:rPr>
        <w:t xml:space="preserve">Insects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(261), 1–11. </w:t>
      </w:r>
      <w:hyperlink r:id="rId60416a4724612ab20" w:history="1">
        <w:r>
          <w:rPr>
            <w:rFonts w:ascii="Calibri" w:hAnsi="Calibri" w:eastAsia="Calibri" w:cs="Calibri"/>
            <w:color w:val="0000CC"/>
            <w:sz w:val="22"/>
            <w:szCs w:val="22"/>
            <w:u w:val="single"/>
          </w:rPr>
          <w:t xml:space="preserve">https://doi.org/10.3390/insects10090261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Smith SM &amp; Hulcr J (2015) </w:t>
      </w:r>
      <w:r>
        <w:rPr>
          <w:rFonts w:ascii="Calibri" w:hAnsi="Calibri" w:eastAsia="Calibri" w:cs="Calibri"/>
          <w:i/>
          <w:iCs/>
          <w:color w:val="000000"/>
          <w:sz w:val="22"/>
          <w:szCs w:val="22"/>
        </w:rPr>
        <w:t xml:space="preserve">Scolytus</w:t>
      </w:r>
      <w:r>
        <w:rPr>
          <w:rFonts w:ascii="Calibri" w:hAnsi="Calibri" w:eastAsia="Calibri" w:cs="Calibri"/>
          <w:color w:val="000000"/>
          <w:sz w:val="22"/>
          <w:szCs w:val="22"/>
        </w:rPr>
        <w:t xml:space="preserve"> and other economically important bark and ambrosia beetles. In FE Vega &amp; RW Hofstetter (eds.) </w:t>
      </w:r>
      <w:r>
        <w:rPr>
          <w:rFonts w:ascii="Calibri" w:hAnsi="Calibri" w:eastAsia="Calibri" w:cs="Calibri"/>
          <w:i/>
          <w:iCs/>
          <w:color w:val="000000"/>
          <w:sz w:val="22"/>
          <w:szCs w:val="22"/>
        </w:rPr>
        <w:t xml:space="preserve">Bark Beetles: Biology and Ecology of Native and Invasive Species</w:t>
      </w:r>
      <w:r>
        <w:rPr>
          <w:rFonts w:ascii="Calibri" w:hAnsi="Calibri" w:eastAsia="Calibri" w:cs="Calibri"/>
          <w:color w:val="000000"/>
          <w:sz w:val="22"/>
          <w:szCs w:val="22"/>
        </w:rPr>
        <w:t xml:space="preserve"> (pp. 495–531). Academic Press. </w:t>
      </w:r>
      <w:hyperlink r:id="rId32366a4724612ab92" w:history="1">
        <w:r>
          <w:rPr>
            <w:rFonts w:ascii="Calibri" w:hAnsi="Calibri" w:eastAsia="Calibri" w:cs="Calibri"/>
            <w:color w:val="0000CC"/>
            <w:sz w:val="22"/>
            <w:szCs w:val="22"/>
            <w:u w:val="single"/>
          </w:rPr>
          <w:t xml:space="preserve">https://doi.org/10.1016/B978-0-12-417156-5.00012-5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Stouthamer R, Rugman-Jones P, Thu PQ, Eskalen A, Thibault T, Hulcr J, Wang LJ, Jordal BH, Chen CY, Cooperband M, Lin CS, Kamata N, Lu SS, Masuya H, Mendel Z, Rabaglia R, Sanguansub S, Shih HH, Sittichaya W &amp; Zong S (2017) Tracing the origin of a cryptic invader: Phylogeography of the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(Coleoptera: Curculionidae: Scolytinae) species complex. </w:t>
      </w:r>
      <w:r>
        <w:rPr>
          <w:rFonts w:ascii="Calibri" w:hAnsi="Calibri" w:eastAsia="Calibri" w:cs="Calibri"/>
          <w:i/>
          <w:iCs/>
          <w:color w:val="000000"/>
          <w:sz w:val="22"/>
          <w:szCs w:val="22"/>
        </w:rPr>
        <w:t xml:space="preserve">Agricultural and Forest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(4), 366–375. </w:t>
      </w:r>
      <w:hyperlink r:id="rId52536a4724612ac26" w:history="1">
        <w:r>
          <w:rPr>
            <w:rFonts w:ascii="Calibri" w:hAnsi="Calibri" w:eastAsia="Calibri" w:cs="Calibri"/>
            <w:color w:val="0000CC"/>
            <w:sz w:val="22"/>
            <w:szCs w:val="22"/>
            <w:u w:val="single"/>
          </w:rPr>
          <w:t xml:space="preserve">https://doi.org/10.1111/afe.12215</w:t>
        </w:r>
      </w:hyperlink>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on </w:t>
      </w:r>
      <w:r>
        <w:rPr>
          <w:rFonts w:ascii="Calibri" w:hAnsi="Calibri" w:eastAsia="Calibri" w:cs="Calibri"/>
          <w:i/>
          <w:iCs/>
          <w:color w:val="000000"/>
          <w:sz w:val="22"/>
          <w:szCs w:val="22"/>
        </w:rPr>
        <w:t xml:space="preserve">Euwallacea fornicatus</w:t>
      </w:r>
      <w:r>
        <w:rPr>
          <w:rFonts w:ascii="Calibri" w:hAnsi="Calibri" w:eastAsia="Calibri" w:cs="Calibri"/>
          <w:color w:val="000000"/>
          <w:sz w:val="22"/>
          <w:szCs w:val="22"/>
        </w:rPr>
        <w:t xml:space="preserve">: </w:t>
      </w:r>
      <w:hyperlink r:id="rId87846a4724612ac9b" w:history="1">
        <w:r>
          <w:rPr>
            <w:rFonts w:ascii="Calibri" w:hAnsi="Calibri" w:eastAsia="Calibri" w:cs="Calibri"/>
            <w:color w:val="0000CC"/>
            <w:sz w:val="22"/>
            <w:szCs w:val="22"/>
            <w:u w:val="single"/>
          </w:rPr>
          <w:t xml:space="preserve">https://www.cabidigitallibrary.org/doi/10.1079/cabicompendium.18360453</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2024 by Demian Gomez.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Euwallacea fornicatus sensu stricto</w:t>
      </w:r>
      <w:r>
        <w:rPr>
          <w:rFonts w:ascii="Calibri" w:hAnsi="Calibri" w:eastAsia="Calibri" w:cs="Calibri"/>
          <w:color w:val="000000"/>
          <w:sz w:val="22"/>
          <w:szCs w:val="22"/>
        </w:rPr>
        <w:t xml:space="preserve">. EPPO datasheets on pests recommended for regulation. Available online. </w:t>
      </w:r>
      <w:hyperlink r:id="rId57486a4724612ad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2024.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62596973" name="name79516a4724612ae1a"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28056a4724612ae18"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1486252">
    <w:multiLevelType w:val="hybridMultilevel"/>
    <w:lvl w:ilvl="0" w:tplc="76168103">
      <w:start w:val="1"/>
      <w:numFmt w:val="decimal"/>
      <w:lvlText w:val="%1."/>
      <w:lvlJc w:val="left"/>
      <w:pPr>
        <w:ind w:left="720" w:hanging="360"/>
      </w:pPr>
    </w:lvl>
    <w:lvl w:ilvl="1" w:tplc="76168103" w:tentative="1">
      <w:start w:val="1"/>
      <w:numFmt w:val="lowerLetter"/>
      <w:lvlText w:val="%2."/>
      <w:lvlJc w:val="left"/>
      <w:pPr>
        <w:ind w:left="1440" w:hanging="360"/>
      </w:pPr>
    </w:lvl>
    <w:lvl w:ilvl="2" w:tplc="76168103" w:tentative="1">
      <w:start w:val="1"/>
      <w:numFmt w:val="lowerRoman"/>
      <w:lvlText w:val="%3."/>
      <w:lvlJc w:val="right"/>
      <w:pPr>
        <w:ind w:left="2160" w:hanging="180"/>
      </w:pPr>
    </w:lvl>
    <w:lvl w:ilvl="3" w:tplc="76168103" w:tentative="1">
      <w:start w:val="1"/>
      <w:numFmt w:val="decimal"/>
      <w:lvlText w:val="%4."/>
      <w:lvlJc w:val="left"/>
      <w:pPr>
        <w:ind w:left="2880" w:hanging="360"/>
      </w:pPr>
    </w:lvl>
    <w:lvl w:ilvl="4" w:tplc="76168103" w:tentative="1">
      <w:start w:val="1"/>
      <w:numFmt w:val="lowerLetter"/>
      <w:lvlText w:val="%5."/>
      <w:lvlJc w:val="left"/>
      <w:pPr>
        <w:ind w:left="3600" w:hanging="360"/>
      </w:pPr>
    </w:lvl>
    <w:lvl w:ilvl="5" w:tplc="76168103" w:tentative="1">
      <w:start w:val="1"/>
      <w:numFmt w:val="lowerRoman"/>
      <w:lvlText w:val="%6."/>
      <w:lvlJc w:val="right"/>
      <w:pPr>
        <w:ind w:left="4320" w:hanging="180"/>
      </w:pPr>
    </w:lvl>
    <w:lvl w:ilvl="6" w:tplc="76168103" w:tentative="1">
      <w:start w:val="1"/>
      <w:numFmt w:val="decimal"/>
      <w:lvlText w:val="%7."/>
      <w:lvlJc w:val="left"/>
      <w:pPr>
        <w:ind w:left="5040" w:hanging="360"/>
      </w:pPr>
    </w:lvl>
    <w:lvl w:ilvl="7" w:tplc="76168103" w:tentative="1">
      <w:start w:val="1"/>
      <w:numFmt w:val="lowerLetter"/>
      <w:lvlText w:val="%8."/>
      <w:lvlJc w:val="left"/>
      <w:pPr>
        <w:ind w:left="5760" w:hanging="360"/>
      </w:pPr>
    </w:lvl>
    <w:lvl w:ilvl="8" w:tplc="76168103" w:tentative="1">
      <w:start w:val="1"/>
      <w:numFmt w:val="lowerRoman"/>
      <w:lvlText w:val="%9."/>
      <w:lvlJc w:val="right"/>
      <w:pPr>
        <w:ind w:left="6480" w:hanging="180"/>
      </w:pPr>
    </w:lvl>
  </w:abstractNum>
  <w:abstractNum w:abstractNumId="31486251">
    <w:multiLevelType w:val="hybridMultilevel"/>
    <w:lvl w:ilvl="0" w:tplc="4501019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1486251">
    <w:abstractNumId w:val="31486251"/>
  </w:num>
  <w:num w:numId="31486252">
    <w:abstractNumId w:val="31486252"/>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46502922" Type="http://schemas.microsoft.com/office/2011/relationships/commentsExtended" Target="commentsExtended.xml"/><Relationship Id="rId624821880" Type="http://schemas.microsoft.com/office/2011/relationships/people" Target="people.xml"/><Relationship Id="rId23196a472461231cd" Type="http://schemas.openxmlformats.org/officeDocument/2006/relationships/hyperlink" Target="https://gd.eppo.int/taxon/EUWAWH/" TargetMode="External"/><Relationship Id="rId12956a47246129b0d" Type="http://schemas.openxmlformats.org/officeDocument/2006/relationships/hyperlink" Target="https://doi.org/10.1080/00275514.1967.12018485" TargetMode="External"/><Relationship Id="rId52996a47246129bb3" Type="http://schemas.openxmlformats.org/officeDocument/2006/relationships/hyperlink" Target="https://doi.org/10.1126/science.1273573" TargetMode="External"/><Relationship Id="rId58466a47246129c48" Type="http://schemas.openxmlformats.org/officeDocument/2006/relationships/hyperlink" Target="https://doi.org/10.1093/aesa/62.2.454" TargetMode="External"/><Relationship Id="rId89176a47246129d3c" Type="http://schemas.openxmlformats.org/officeDocument/2006/relationships/hyperlink" Target="https://doi.org/10.11646/zootaxa.5325.2.10" TargetMode="External"/><Relationship Id="rId27806a47246129dee" Type="http://schemas.openxmlformats.org/officeDocument/2006/relationships/hyperlink" Target="https://doi.org/10.1093/ee/nvaa103" TargetMode="External"/><Relationship Id="rId51656a47246129e7f" Type="http://schemas.openxmlformats.org/officeDocument/2006/relationships/hyperlink" Target="https://doi.org/10.7717/peerj.3957" TargetMode="External"/><Relationship Id="rId12266a47246129f13" Type="http://schemas.openxmlformats.org/officeDocument/2006/relationships/hyperlink" Target="https://doi.org/10.1111/afe.12155" TargetMode="External"/><Relationship Id="rId55956a47246129fd4" Type="http://schemas.openxmlformats.org/officeDocument/2006/relationships/hyperlink" Target="https://doi.org/10.7717/peerj.3656" TargetMode="External"/><Relationship Id="rId87986a4724612a048" Type="http://schemas.openxmlformats.org/officeDocument/2006/relationships/hyperlink" Target="https://pra.eppo.int/pra/4880c445-9ca7-485a-9e3a-edde73e472fa" TargetMode="External"/><Relationship Id="rId36836a4724612a0fc" Type="http://schemas.openxmlformats.org/officeDocument/2006/relationships/hyperlink" Target="https://doi.org/10.1094/PDIS-03-12-0276-PDN" TargetMode="External"/><Relationship Id="rId93316a4724612a16e" Type="http://schemas.openxmlformats.org/officeDocument/2006/relationships/hyperlink" Target="https://doi.org/10.1094/PDIS-11-12-1026-RE" TargetMode="External"/><Relationship Id="rId61576a4724612a221" Type="http://schemas.openxmlformats.org/officeDocument/2006/relationships/hyperlink" Target="https://doi.org/10.1111/j.1439-0418.1974.tb01827.x" TargetMode="External"/><Relationship Id="rId80486a4724612a2d3" Type="http://schemas.openxmlformats.org/officeDocument/2006/relationships/hyperlink" Target="https://doi.org/10.3852/13-066" TargetMode="External"/><Relationship Id="rId82826a4724612a42e" Type="http://schemas.openxmlformats.org/officeDocument/2006/relationships/hyperlink" Target="https://doi.org/10.1016/j.aspen.2019.01.013" TargetMode="External"/><Relationship Id="rId40356a4724612a49f" Type="http://schemas.openxmlformats.org/officeDocument/2006/relationships/hyperlink" Target="https://doi.org/10.3897/zookeys.768.24697" TargetMode="External"/><Relationship Id="rId92276a4724612a533" Type="http://schemas.openxmlformats.org/officeDocument/2006/relationships/hyperlink" Target="https://doi.org/10.1093/isd/ixy018" TargetMode="External"/><Relationship Id="rId92486a4724612a5e5" Type="http://schemas.openxmlformats.org/officeDocument/2006/relationships/hyperlink" Target="https://doi.org/10.1093/jee/toy423" TargetMode="External"/><Relationship Id="rId53226a4724612a6df" Type="http://schemas.openxmlformats.org/officeDocument/2006/relationships/hyperlink" Target="https://doi.org/10.1093/jee/tov169" TargetMode="External"/><Relationship Id="rId37996a4724612a794" Type="http://schemas.openxmlformats.org/officeDocument/2006/relationships/hyperlink" Target="https://doi.org/10.1093/jee/toz311" TargetMode="External"/><Relationship Id="rId90476a4724612a847" Type="http://schemas.openxmlformats.org/officeDocument/2006/relationships/hyperlink" Target="https://doi.org/10.1007/s12600-012-0223-7" TargetMode="External"/><Relationship Id="rId88706a4724612a8d7" Type="http://schemas.openxmlformats.org/officeDocument/2006/relationships/hyperlink" Target="https://doi.org/10.1007/s13313-018-0545-0" TargetMode="External"/><Relationship Id="rId41116a4724612a94b" Type="http://schemas.openxmlformats.org/officeDocument/2006/relationships/hyperlink" Target="https://doi.org/10.17159/sajs.2020/8757" TargetMode="External"/><Relationship Id="rId63346a4724612a9dc" Type="http://schemas.openxmlformats.org/officeDocument/2006/relationships/hyperlink" Target="https://doi.org/10.7717/peerj.9987" TargetMode="External"/><Relationship Id="rId75126a4724612aa71" Type="http://schemas.openxmlformats.org/officeDocument/2006/relationships/hyperlink" Target="https://doi.org/10.1007/s10530-022-02929-w" TargetMode="External"/><Relationship Id="rId60416a4724612ab20" Type="http://schemas.openxmlformats.org/officeDocument/2006/relationships/hyperlink" Target="https://doi.org/10.3390/insects10090261" TargetMode="External"/><Relationship Id="rId32366a4724612ab92" Type="http://schemas.openxmlformats.org/officeDocument/2006/relationships/hyperlink" Target="https://doi.org/10.1016/B978-0-12-417156-5.00012-5" TargetMode="External"/><Relationship Id="rId52536a4724612ac26" Type="http://schemas.openxmlformats.org/officeDocument/2006/relationships/hyperlink" Target="https://doi.org/10.1111/afe.12215" TargetMode="External"/><Relationship Id="rId87846a4724612ac9b" Type="http://schemas.openxmlformats.org/officeDocument/2006/relationships/hyperlink" Target="https://www.cabidigitallibrary.org/doi/10.1079/cabicompendium.18360453" TargetMode="External"/><Relationship Id="rId57486a4724612ad54" Type="http://schemas.openxmlformats.org/officeDocument/2006/relationships/hyperlink" Target="https://gd.eppo.int" TargetMode="External"/><Relationship Id="rId18346a47246128dbe" Type="http://schemas.openxmlformats.org/officeDocument/2006/relationships/image" Target="media/imgrId18346a47246128dbe.jpg"/><Relationship Id="rId28056a4724612ae18" Type="http://schemas.openxmlformats.org/officeDocument/2006/relationships/image" Target="media/imgrId28056a4724612ae18.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