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Pantoea stewartii subsp. stewartii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2022-02-24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Pantoea stewartii subsp. stewartii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 Mergaert, Verdonck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Enterobacterales: Erwiniaceae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Aplanobacter stewartii</w:t>
            </w:r>
            <w:r>
              <w:rPr>
                <w:rFonts w:ascii="Calibri" w:hAnsi="Calibri" w:eastAsia="Calibri" w:cs="Calibri"/>
                <w:color w:val="000000"/>
                <w:position w:val="-3"/>
                <w:sz w:val="22"/>
                <w:szCs w:val="22"/>
              </w:rPr>
              <w:t xml:space="preserve"> (Smith) McCulloch, </w:t>
            </w:r>
            <w:r>
              <w:rPr>
                <w:rFonts w:ascii="Calibri" w:hAnsi="Calibri" w:eastAsia="Calibri" w:cs="Calibri"/>
                <w:i/>
                <w:iCs/>
                <w:color w:val="000000"/>
                <w:position w:val="-3"/>
                <w:sz w:val="22"/>
                <w:szCs w:val="22"/>
              </w:rPr>
              <w:t xml:space="preserve">Bacterium stewartii</w:t>
            </w:r>
            <w:r>
              <w:rPr>
                <w:rFonts w:ascii="Calibri" w:hAnsi="Calibri" w:eastAsia="Calibri" w:cs="Calibri"/>
                <w:color w:val="000000"/>
                <w:position w:val="-3"/>
                <w:sz w:val="22"/>
                <w:szCs w:val="22"/>
              </w:rPr>
              <w:t xml:space="preserve"> (Smith) Smith, </w:t>
            </w:r>
            <w:r>
              <w:rPr>
                <w:rFonts w:ascii="Calibri" w:hAnsi="Calibri" w:eastAsia="Calibri" w:cs="Calibri"/>
                <w:i/>
                <w:iCs/>
                <w:color w:val="000000"/>
                <w:position w:val="-3"/>
                <w:sz w:val="22"/>
                <w:szCs w:val="22"/>
              </w:rPr>
              <w:t xml:space="preserve">Erwinia stewartii</w:t>
            </w:r>
            <w:r>
              <w:rPr>
                <w:rFonts w:ascii="Calibri" w:hAnsi="Calibri" w:eastAsia="Calibri" w:cs="Calibri"/>
                <w:color w:val="000000"/>
                <w:position w:val="-3"/>
                <w:sz w:val="22"/>
                <w:szCs w:val="22"/>
              </w:rPr>
              <w:t xml:space="preserve"> (Smith) Dye, </w:t>
            </w:r>
            <w:r>
              <w:rPr>
                <w:rFonts w:ascii="Calibri" w:hAnsi="Calibri" w:eastAsia="Calibri" w:cs="Calibri"/>
                <w:i/>
                <w:iCs/>
                <w:color w:val="000000"/>
                <w:position w:val="-3"/>
                <w:sz w:val="22"/>
                <w:szCs w:val="22"/>
              </w:rPr>
              <w:t xml:space="preserve">Pseudomonas stewartii</w:t>
            </w:r>
            <w:r>
              <w:rPr>
                <w:rFonts w:ascii="Calibri" w:hAnsi="Calibri" w:eastAsia="Calibri" w:cs="Calibri"/>
                <w:color w:val="000000"/>
                <w:position w:val="-3"/>
                <w:sz w:val="22"/>
                <w:szCs w:val="22"/>
              </w:rPr>
              <w:t xml:space="preserve"> Smith, </w:t>
            </w:r>
            <w:r>
              <w:rPr>
                <w:rFonts w:ascii="Calibri" w:hAnsi="Calibri" w:eastAsia="Calibri" w:cs="Calibri"/>
                <w:i/>
                <w:iCs/>
                <w:color w:val="000000"/>
                <w:position w:val="-3"/>
                <w:sz w:val="22"/>
                <w:szCs w:val="22"/>
              </w:rPr>
              <w:t xml:space="preserve">Xanthomonas stewartii</w:t>
            </w:r>
            <w:r>
              <w:rPr>
                <w:rFonts w:ascii="Calibri" w:hAnsi="Calibri" w:eastAsia="Calibri" w:cs="Calibri"/>
                <w:color w:val="000000"/>
                <w:position w:val="-3"/>
                <w:sz w:val="22"/>
                <w:szCs w:val="22"/>
              </w:rPr>
              <w:t xml:space="preserve"> (Smith) Dowson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Stewart's disease, Stewart's wilt of maize, bacterial leaf blight of maize, bacterial wilt of maize, jackfruit bronzing</w:t>
            </w:r>
            <w:hyperlink r:id="rId47706945ff4681a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22516945ff4681ac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ERWIST</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5020316" name="name36516945ff4682190" descr="4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34.jpg"/>
                          <pic:cNvPicPr/>
                        </pic:nvPicPr>
                        <pic:blipFill>
                          <a:blip r:embed="rId52726945ff468218d" cstate="print"/>
                          <a:stretch>
                            <a:fillRect/>
                          </a:stretch>
                        </pic:blipFill>
                        <pic:spPr>
                          <a:xfrm>
                            <a:off x="0" y="0"/>
                            <a:ext cx="2160000" cy="1281600"/>
                          </a:xfrm>
                          <a:prstGeom prst="rect">
                            <a:avLst/>
                          </a:prstGeom>
                          <a:ln w="0">
                            <a:noFill/>
                          </a:ln>
                        </pic:spPr>
                      </pic:pic>
                    </a:graphicData>
                  </a:graphic>
                </wp:inline>
              </w:drawing>
            </w:r>
            <w:hyperlink r:id="rId70056945ff46822d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Analysis of protein gel electrophoresis patterns and DNA-DNA hybridisation studies has led to a revision of the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(Mergaert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transfer of </w:t>
      </w:r>
      <w:r>
        <w:rPr>
          <w:rFonts w:ascii="Calibri" w:hAnsi="Calibri" w:eastAsia="Calibri" w:cs="Calibri"/>
          <w:i/>
          <w:iCs/>
          <w:color w:val="000000"/>
          <w:sz w:val="22"/>
          <w:szCs w:val="22"/>
        </w:rPr>
        <w:t xml:space="preserve">E. stewartii</w:t>
      </w:r>
      <w:r>
        <w:rPr>
          <w:rFonts w:ascii="Calibri" w:hAnsi="Calibri" w:eastAsia="Calibri" w:cs="Calibri"/>
          <w:color w:val="000000"/>
          <w:sz w:val="22"/>
          <w:szCs w:val="22"/>
        </w:rPr>
        <w:t xml:space="preserve"> to the genus of </w:t>
      </w:r>
      <w:r>
        <w:rPr>
          <w:rFonts w:ascii="Calibri" w:hAnsi="Calibri" w:eastAsia="Calibri" w:cs="Calibri"/>
          <w:i/>
          <w:iCs/>
          <w:color w:val="000000"/>
          <w:sz w:val="22"/>
          <w:szCs w:val="22"/>
        </w:rPr>
        <w:t xml:space="preserve">Pantoea</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and the creation of two separate subspecies within </w:t>
      </w:r>
      <w:r>
        <w:rPr>
          <w:rFonts w:ascii="Calibri" w:hAnsi="Calibri" w:eastAsia="Calibri" w:cs="Calibri"/>
          <w:i/>
          <w:iCs/>
          <w:color w:val="000000"/>
          <w:sz w:val="22"/>
          <w:szCs w:val="22"/>
        </w:rPr>
        <w:t xml:space="preserve">P. stewartii, </w:t>
      </w: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indologenes</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It is important to distinguish these two subspecies as only subspecies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cause Stewart’s wilt.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(maize), especially </w:t>
      </w:r>
      <w:r>
        <w:rPr>
          <w:rFonts w:ascii="Calibri" w:hAnsi="Calibri" w:eastAsia="Calibri" w:cs="Calibri"/>
          <w:i/>
          <w:iCs/>
          <w:color w:val="000000"/>
          <w:sz w:val="22"/>
          <w:szCs w:val="22"/>
        </w:rPr>
        <w:t xml:space="preserve">Zea mays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saccharata </w:t>
      </w:r>
      <w:r>
        <w:rPr>
          <w:rFonts w:ascii="Calibri" w:hAnsi="Calibri" w:eastAsia="Calibri" w:cs="Calibri"/>
          <w:color w:val="000000"/>
          <w:sz w:val="22"/>
          <w:szCs w:val="22"/>
        </w:rPr>
        <w:t xml:space="preserve">(sweetcorn), but also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indentata</w:t>
      </w:r>
      <w:r>
        <w:rPr>
          <w:rFonts w:ascii="Calibri" w:hAnsi="Calibri" w:eastAsia="Calibri" w:cs="Calibri"/>
          <w:color w:val="000000"/>
          <w:sz w:val="22"/>
          <w:szCs w:val="22"/>
        </w:rPr>
        <w:t xml:space="preserve"> (dent),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indurata</w:t>
      </w:r>
      <w:r>
        <w:rPr>
          <w:rFonts w:ascii="Calibri" w:hAnsi="Calibri" w:eastAsia="Calibri" w:cs="Calibri"/>
          <w:color w:val="000000"/>
          <w:sz w:val="22"/>
          <w:szCs w:val="22"/>
        </w:rPr>
        <w:t xml:space="preserve"> (flint),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amylacea</w:t>
      </w:r>
      <w:r>
        <w:rPr>
          <w:rFonts w:ascii="Calibri" w:hAnsi="Calibri" w:eastAsia="Calibri" w:cs="Calibri"/>
          <w:color w:val="000000"/>
          <w:sz w:val="22"/>
          <w:szCs w:val="22"/>
        </w:rPr>
        <w:t xml:space="preserve"> (flour)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everta</w:t>
      </w:r>
      <w:r>
        <w:rPr>
          <w:rFonts w:ascii="Calibri" w:hAnsi="Calibri" w:eastAsia="Calibri" w:cs="Calibri"/>
          <w:color w:val="000000"/>
          <w:sz w:val="22"/>
          <w:szCs w:val="22"/>
        </w:rPr>
        <w:t xml:space="preserve"> (popcorn). The bacterium has also been reported to have been isolated from other plant species or to infect plant species when artificially inoculated, however in all cases reliable scientific evidence is missing to prove that the strains isolated from these plant species can be identified as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can cause vascular wilt and leaf blight (EFSA, 2018). These species are </w:t>
      </w:r>
      <w:r>
        <w:rPr>
          <w:rFonts w:ascii="Calibri" w:hAnsi="Calibri" w:eastAsia="Calibri" w:cs="Calibri"/>
          <w:i/>
          <w:iCs/>
          <w:color w:val="000000"/>
          <w:sz w:val="22"/>
          <w:szCs w:val="22"/>
        </w:rPr>
        <w:t xml:space="preserve">Agrostis gigantea, Artocarpus heterophyllus, Coix lacryma-jobi, Dactylis glomerata, Digitaria (crabgrass), Dracaena sanderiana, Oryza sativa, Panicum capillare, Panicum dichotomiflorum, Poa nemoralis, Poa pratensis, Setaria lutescens, Sorghum sudanense, Tripsacum dactyloides, Triticum aestivum </w:t>
      </w:r>
      <w:r>
        <w:rPr>
          <w:rFonts w:ascii="Calibri" w:hAnsi="Calibri" w:eastAsia="Calibri" w:cs="Calibri"/>
          <w:color w:val="000000"/>
          <w:sz w:val="22"/>
          <w:szCs w:val="22"/>
        </w:rPr>
        <w:t xml:space="preserve">(CABI, 2020; Poos, 1939).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sanderiana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Tripsacum dactyloides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indigenous to America and has been introduced to other parts of the world with maize seed.</w:t>
      </w:r>
    </w:p>
    <w:p>
      <w:r>
        <w:drawing>
          <wp:inline distT="0" distB="0" distL="0" distR="0">
            <wp:extent cx="6120000" cy="3067200"/>
            <wp:docPr id="87997894" name="name82426945ff4683a2c" descr="ERWIS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WIST_distribution_map.jpg"/>
                    <pic:cNvPicPr/>
                  </pic:nvPicPr>
                  <pic:blipFill>
                    <a:blip r:embed="rId72046945ff4683a2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Italy (mainland), Jordan, Russian Federation (the), Slovenia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Togo</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Hainan), India, Iran, Islamic Republic of, Jordan, Korea, Republic of, Malaysia (West), Philippines,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Arkansas, California, Connecticut, Delaware, Florida, Georgia, Illinois, Indiana, Iowa, Kansas, Kentucky, Louisiana, Maine, Maryland, Massachusetts, Michigan, Mississippi, Missouri, Nebraska, New Hampshire, New Jersey, New Mexico, New York, North Dakota, Ohio, Oklahoma, Pennsylvania, Rhode Island, South Carolina, South Dakota, Tennessee, Texas, Vermont, Virginia, West Virginia,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Puerto Rico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Guyana,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can be transmitted with seed, but the seed-to-seedling transmission rate of the pathogen is very low (Khan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Block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Michener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bacterium also occasionally overwinters in soil, manure, or maize stalks. However, the main mode of spread of the pathogen is with insect vectors. The main vector in the USA is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The beetles overwinter as adults and can carry the bacteria in their gut throughout their life. They migrate and can be carried over considerable distances in air currents (Elliott &amp; Poos, 1940). Other vectors such as </w:t>
      </w:r>
      <w:r>
        <w:rPr>
          <w:rFonts w:ascii="Calibri" w:hAnsi="Calibri" w:eastAsia="Calibri" w:cs="Calibri"/>
          <w:i/>
          <w:iCs/>
          <w:color w:val="000000"/>
          <w:sz w:val="22"/>
          <w:szCs w:val="22"/>
        </w:rPr>
        <w:t xml:space="preserve">Chaetocnema denticulata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(both adult and larva), </w:t>
      </w:r>
      <w:r>
        <w:rPr>
          <w:rFonts w:ascii="Calibri" w:hAnsi="Calibri" w:eastAsia="Calibri" w:cs="Calibri"/>
          <w:i/>
          <w:iCs/>
          <w:color w:val="000000"/>
          <w:sz w:val="22"/>
          <w:szCs w:val="22"/>
        </w:rPr>
        <w:t xml:space="preserve">Diabrotica longicornis and Phyllophaga</w:t>
      </w:r>
      <w:r>
        <w:rPr>
          <w:rFonts w:ascii="Calibri" w:hAnsi="Calibri" w:eastAsia="Calibri" w:cs="Calibri"/>
          <w:color w:val="000000"/>
          <w:sz w:val="22"/>
          <w:szCs w:val="22"/>
        </w:rPr>
        <w:t xml:space="preserve"> sp are considered as inefficient, or non important vectors under field conditions (Rand and Cash, 1933; Poos, 1936; Elliott and Poos, 1940).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Delia platura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Agriotes mancus </w:t>
      </w:r>
      <w:r>
        <w:rPr>
          <w:rFonts w:ascii="Calibri" w:hAnsi="Calibri" w:eastAsia="Calibri" w:cs="Calibri"/>
          <w:color w:val="000000"/>
          <w:sz w:val="22"/>
          <w:szCs w:val="22"/>
        </w:rPr>
        <w:t xml:space="preserve">proved to be able transmit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to maize in cage experiment, only for a few weeks, therefore the bacterial cells are not able to overwinter in the organism of these insects (Frutchey, 1936). Insect species present in Italy (where outbreaks were recorded prior to the 1950s) were considered as inefficient vectors (EPPO, 1997), however recent outbreaks (EPPO, 2018, 2020 a &amp; b and 2021) show that further investigation on possible vectors in the EPPO region is needed.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are mainly infected via vector feeding (or to a much lesser extent via seed transmission). Secondary spread of the pathogen then occurs throughout the summer.</w:t>
      </w:r>
    </w:p>
    <w:p>
      <w:pPr>
        <w:widowControl w:val="on"/>
        <w:pBdr/>
        <w:spacing w:before="220" w:after="220" w:line="240" w:lineRule="auto"/>
        <w:ind w:left="0" w:right="0"/>
        <w:jc w:val="both"/>
      </w:pPr>
      <w:r>
        <w:rPr>
          <w:rFonts w:ascii="Calibri" w:hAnsi="Calibri" w:eastAsia="Calibri" w:cs="Calibri"/>
          <w:color w:val="000000"/>
          <w:sz w:val="22"/>
          <w:szCs w:val="22"/>
        </w:rPr>
        <w:t xml:space="preserve">In sweetcorn the bacteria, which primarily colonize the vascular tissue, are found in roots, stalks, leaf blades and sheaths, tassels, cobs, husks, and kernels. Dent maize kernels are rarely infected except when disease levels are high, and the cultivar is susceptible.</w:t>
      </w:r>
    </w:p>
    <w:p>
      <w:pPr>
        <w:widowControl w:val="on"/>
        <w:pBdr/>
        <w:spacing w:before="220" w:after="220" w:line="240" w:lineRule="auto"/>
        <w:ind w:left="0" w:right="0"/>
        <w:jc w:val="both"/>
      </w:pPr>
      <w:r>
        <w:rPr>
          <w:rFonts w:ascii="Calibri" w:hAnsi="Calibri" w:eastAsia="Calibri" w:cs="Calibri"/>
          <w:color w:val="000000"/>
          <w:sz w:val="22"/>
          <w:szCs w:val="22"/>
        </w:rPr>
        <w:t xml:space="preserve">Mineral nutrition influences disease intensity, high ammonium N and P levels increasing susceptibility and high Ca and K tending to decrease it. High temperatures aggravate disease severity. Disease incidence each season is correlated with the temperatures of the previous winter through their effect on the insect vector. This criterion is used in forecasting models in USA to predict disease risk and infection levels. If the average daily temperature during December, January and February is above freezing, the insect vector survives, and the disease may be severe when susceptible hybrids are grown. If the average daily temperature is less than –3 °C, flea beetles are less likely to survive, and it is unlikely that the disease will be severe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Boewe, 1949; Castor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Bradbury (1967), Pepper (1967), Robert (1967), Heichel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Shurtleff (1980).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may be destroyed at the seedling stage or, if infected later, may reach a reasonable size.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sweetcorn</w:t>
      </w:r>
    </w:p>
    <w:p>
      <w:pPr>
        <w:widowControl w:val="on"/>
        <w:pBdr/>
        <w:spacing w:before="220" w:after="220" w:line="240" w:lineRule="auto"/>
        <w:ind w:left="0" w:right="0"/>
        <w:jc w:val="both"/>
      </w:pPr>
      <w:r>
        <w:rPr>
          <w:rFonts w:ascii="Calibri" w:hAnsi="Calibri" w:eastAsia="Calibri" w:cs="Calibri"/>
          <w:color w:val="000000"/>
          <w:sz w:val="22"/>
          <w:szCs w:val="22"/>
        </w:rPr>
        <w:t xml:space="preserve">Susceptible hybrids wilt rapidly; leaves develop pale green to yellow, longitudinal streaks, with irregular or wavy margins, which may extend the length of the leaf. These streaks dry out and turn brown. Premature and bleached tassels are produced which wither and die before the rest of the plant. Cavities may form in the stalk pith near the soil-line of severely infected plants. Bacteria may exude in tiny droplets on the inner face of the husk. Small, irregular, water-soaked spots, which appear on the inner and outer husks, later become dried and darkened. The bacterium penetrates the seed deeply, but not the embryo.</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On dent maize</w:t>
      </w:r>
    </w:p>
    <w:p>
      <w:pPr>
        <w:widowControl w:val="on"/>
        <w:pBdr/>
        <w:spacing w:before="220" w:after="220" w:line="240" w:lineRule="auto"/>
        <w:ind w:left="0" w:right="0"/>
        <w:jc w:val="both"/>
      </w:pPr>
      <w:r>
        <w:rPr>
          <w:rFonts w:ascii="Calibri" w:hAnsi="Calibri" w:eastAsia="Calibri" w:cs="Calibri"/>
          <w:color w:val="000000"/>
          <w:sz w:val="22"/>
          <w:szCs w:val="22"/>
        </w:rPr>
        <w:t xml:space="preserve">Hybrids are generally resistant to the wilt phase but are susceptible to leaf blight. Usually after tasselling, short to long, irregular, pale green to yellow streaks, which originate from feeding marks of the corn flea beetle (</w:t>
      </w:r>
      <w:r>
        <w:rPr>
          <w:rFonts w:ascii="Calibri" w:hAnsi="Calibri" w:eastAsia="Calibri" w:cs="Calibri"/>
          <w:i/>
          <w:iCs/>
          <w:color w:val="000000"/>
          <w:sz w:val="22"/>
          <w:szCs w:val="22"/>
        </w:rPr>
        <w:t xml:space="preserve">Chaetocnema pulicaria</w:t>
      </w:r>
      <w:r>
        <w:rPr>
          <w:rFonts w:ascii="Calibri" w:hAnsi="Calibri" w:eastAsia="Calibri" w:cs="Calibri"/>
          <w:color w:val="000000"/>
          <w:sz w:val="22"/>
          <w:szCs w:val="22"/>
        </w:rPr>
        <w:t xml:space="preserve">), appear on the leaves. The treaked areas and sometimes whole leaves become straw-coloured. The weakened plants are more susceptible to stalk rots.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may be confused with other leaf blights (EPPO 2016b): Goss’s bacterial wilt and leaf blight, </w:t>
      </w:r>
      <w:r>
        <w:rPr>
          <w:rFonts w:ascii="Calibri" w:hAnsi="Calibri" w:eastAsia="Calibri" w:cs="Calibri"/>
          <w:i/>
          <w:iCs/>
          <w:color w:val="000000"/>
          <w:sz w:val="22"/>
          <w:szCs w:val="22"/>
        </w:rPr>
        <w:t xml:space="preserve">Clavibacter michiganensis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nebraskensis</w:t>
      </w:r>
      <w:r>
        <w:rPr>
          <w:rFonts w:ascii="Calibri" w:hAnsi="Calibri" w:eastAsia="Calibri" w:cs="Calibri"/>
          <w:color w:val="000000"/>
          <w:sz w:val="22"/>
          <w:szCs w:val="22"/>
        </w:rPr>
        <w:t xml:space="preserve"> which can be very similar to Stewart’s wilt; bacterial leaf blight,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causes stripes or spots which are long and narrow and have reddish-brown edges. Leaves are easily shredded and there may be an associated rot of the upper stalk. Bacterial stripe, </w:t>
      </w:r>
      <w:r>
        <w:rPr>
          <w:rFonts w:ascii="Calibri" w:hAnsi="Calibri" w:eastAsia="Calibri" w:cs="Calibri"/>
          <w:i/>
          <w:iCs/>
          <w:color w:val="000000"/>
          <w:sz w:val="22"/>
          <w:szCs w:val="22"/>
        </w:rPr>
        <w:t xml:space="preserve">Burkholderia andropogonis</w:t>
      </w:r>
      <w:r>
        <w:rPr>
          <w:rFonts w:ascii="Calibri" w:hAnsi="Calibri" w:eastAsia="Calibri" w:cs="Calibri"/>
          <w:color w:val="000000"/>
          <w:sz w:val="22"/>
          <w:szCs w:val="22"/>
        </w:rPr>
        <w:t xml:space="preserve">, produces long, narrow, parallel, olive-green to yellow, water-soaked lesions. The upper leaves may be almost bleached. Northern corn leaf blight, </w:t>
      </w:r>
      <w:r>
        <w:rPr>
          <w:rFonts w:ascii="Calibri" w:hAnsi="Calibri" w:eastAsia="Calibri" w:cs="Calibri"/>
          <w:i/>
          <w:iCs/>
          <w:color w:val="000000"/>
          <w:sz w:val="22"/>
          <w:szCs w:val="22"/>
        </w:rPr>
        <w:t xml:space="preserve">Setosphaeria turcica</w:t>
      </w:r>
      <w:r>
        <w:rPr>
          <w:rFonts w:ascii="Calibri" w:hAnsi="Calibri" w:eastAsia="Calibri" w:cs="Calibri"/>
          <w:color w:val="000000"/>
          <w:sz w:val="22"/>
          <w:szCs w:val="22"/>
        </w:rPr>
        <w:t xml:space="preserve">, gives rise to large, spindle-shaped, greyish green to tan spots. Southern corn leaf blight, </w:t>
      </w:r>
      <w:r>
        <w:rPr>
          <w:rFonts w:ascii="Calibri" w:hAnsi="Calibri" w:eastAsia="Calibri" w:cs="Calibri"/>
          <w:i/>
          <w:iCs/>
          <w:color w:val="000000"/>
          <w:sz w:val="22"/>
          <w:szCs w:val="22"/>
        </w:rPr>
        <w:t xml:space="preserve">Cochliobolus heterostrophus</w:t>
      </w:r>
      <w:r>
        <w:rPr>
          <w:rFonts w:ascii="Calibri" w:hAnsi="Calibri" w:eastAsia="Calibri" w:cs="Calibri"/>
          <w:color w:val="000000"/>
          <w:sz w:val="22"/>
          <w:szCs w:val="22"/>
        </w:rPr>
        <w:t xml:space="preserve">, and corn leaf spot, </w:t>
      </w:r>
      <w:r>
        <w:rPr>
          <w:rFonts w:ascii="Calibri" w:hAnsi="Calibri" w:eastAsia="Calibri" w:cs="Calibri"/>
          <w:i/>
          <w:iCs/>
          <w:color w:val="000000"/>
          <w:sz w:val="22"/>
          <w:szCs w:val="22"/>
        </w:rPr>
        <w:t xml:space="preserve">C. carbonum</w:t>
      </w:r>
      <w:r>
        <w:rPr>
          <w:rFonts w:ascii="Calibri" w:hAnsi="Calibri" w:eastAsia="Calibri" w:cs="Calibri"/>
          <w:color w:val="000000"/>
          <w:sz w:val="22"/>
          <w:szCs w:val="22"/>
        </w:rPr>
        <w:t xml:space="preserve">, cause well-defined, tan to brown spots. Leaf blotches and spots and brown stalk rot of maize, caused by </w:t>
      </w:r>
      <w:r>
        <w:rPr>
          <w:rFonts w:ascii="Calibri" w:hAnsi="Calibri" w:eastAsia="Calibri" w:cs="Calibri"/>
          <w:i/>
          <w:iCs/>
          <w:color w:val="000000"/>
          <w:sz w:val="22"/>
          <w:szCs w:val="22"/>
        </w:rPr>
        <w:t xml:space="preserve">Pantoea ananatis </w:t>
      </w:r>
      <w:r>
        <w:rPr>
          <w:rFonts w:ascii="Calibri" w:hAnsi="Calibri" w:eastAsia="Calibri" w:cs="Calibri"/>
          <w:color w:val="000000"/>
          <w:sz w:val="22"/>
          <w:szCs w:val="22"/>
        </w:rPr>
        <w:t xml:space="preserve">can also be confused with Stewart’s wilt.</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Elliott (1941), Pepper (1967), Robert (1967), Shurtleff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is non-motile, non-sporing, Gram-negative rod, 0.4-0.7 x 0.9-2.0 µm, occurring singly and in short chains (Bradbury, 1967). Colonies on nutrient-glucose agar are cream-yellow, lemon-yellow, or orange-yellow and flat, raised or convex,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If stems or leaves of infected maize plants are cut across, masses of yellow bacterial slime will exude. If sections cut through a leaf lesion are placed in a drop of water on a slide and viewed under a microscope (x 100 plus), masses of bacteria will be seen oozing from the vascular tissues.</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based on isolation, IF (immunofluorescence cell staining), ELISA (enzyme-linked immunosorbent assay), molecular tests (conventional and real-time PCR, barcoding), and fatty acid profiling is available for the detection and identification of the pathogen (EPPO, 2016b). ELISA-based seed health testing method is recommended in the USA to test maize seed lots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NSHS,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vectors only carry the disease locally and are very unlikely to be carried on traded plants. Consequently, the main pathway for international movement is in or on infected seeds.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Bacterial wilt can be a serious disease of sweetcorn, causing yield reduction and susceptibility to stem rot. Heavy losses were not reported in the USA until 1930-1931, although the disease had already been known for approximately 30 years. Losses can range from 40 to 100 % if susceptible sweetcorn hybrids are grown and the plants are infected at the seedling stage (Pataky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development and use of resistant and moderately resistant hybrids reduced the yield losses to the minimum (Pataky, 2003).</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can be achieved by using resistant cultivars and disease-free seed, by seed treatment as well as early spraying with insecticides to reduce vector populations.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left"/>
      </w:pPr>
      <w:r>
        <w:rPr>
          <w:rFonts w:ascii="Calibri" w:hAnsi="Calibri" w:eastAsia="Calibri" w:cs="Calibri"/>
          <w:color w:val="000000"/>
          <w:sz w:val="22"/>
          <w:szCs w:val="22"/>
        </w:rPr>
        <w:t xml:space="preserve">Serious damage occurred in Italy (Veneto region) prior to the 1950s in connection with the use of seed imported from the USA. There have been isolated outbreaks in the EPPO region, first in Italy in 1980’s (FAO, 1983; Mazzucchi, 1984), presumably associated with new imports of seeds, and later in other countries e.g. Slovenia (EPPO, 2020b), Ukraine (EPPO, 2018). In all these countries eradication measures have been implemented. Given the serious damage reported for this disease, it is important to continue excluding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Seeds should originate in areas free from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or consignments of seeds should be tested (EPPO, 2016a). Seed testing methods are available (Lamka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2016b; NSHS, 2021). Guo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have shown that the bacterium disappears from maize seed after 200-250 days at 8-15°C and after 110-120 days at 20-25°C, and recommend storing seed under conditions suitable for eliminating </w:t>
      </w:r>
      <w:r>
        <w:rPr>
          <w:rFonts w:ascii="Calibri" w:hAnsi="Calibri" w:eastAsia="Calibri" w:cs="Calibri"/>
          <w:i/>
          <w:iCs/>
          <w:color w:val="000000"/>
          <w:sz w:val="22"/>
          <w:szCs w:val="22"/>
        </w:rPr>
        <w:t xml:space="preserve">P.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Seed treatment with chemicals is not 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Block CC, Hill JH &amp; McGee DC (1998) Seed transmission of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in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775-780.</w:t>
      </w:r>
    </w:p>
    <w:p>
      <w:pPr>
        <w:widowControl w:val="on"/>
        <w:pBdr/>
        <w:spacing w:before="220" w:after="220" w:line="240" w:lineRule="auto"/>
        <w:ind w:left="0" w:right="0"/>
        <w:jc w:val="left"/>
      </w:pPr>
      <w:r>
        <w:rPr>
          <w:rFonts w:ascii="Calibri" w:hAnsi="Calibri" w:eastAsia="Calibri" w:cs="Calibri"/>
          <w:color w:val="000000"/>
          <w:sz w:val="22"/>
          <w:szCs w:val="22"/>
        </w:rPr>
        <w:t xml:space="preserve">Boewe GH (1949) Late season incidence of Stewart’s disease on sweet corn and winter temperatures in Illinois, 1944-1948.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192-194.</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(1967)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123.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CABI Invasive species compendium. Datasheet on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(bacterial wilt of maize). Available online, </w:t>
      </w:r>
      <w:hyperlink r:id="rId77696945ff468473e" w:history="1">
        <w:r>
          <w:rPr>
            <w:rFonts w:ascii="Calibri" w:hAnsi="Calibri" w:eastAsia="Calibri" w:cs="Calibri"/>
            <w:color w:val="0000CC"/>
            <w:sz w:val="22"/>
            <w:szCs w:val="22"/>
            <w:u w:val="single"/>
          </w:rPr>
          <w:t xml:space="preserve">https://cabi.org/isc/datasheet/21939</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Castor LL, Ayers JE, MacNab AA &amp; Krause RA (1975) Computerized forecasting system for Stewart's bacterial disease on 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533-536.</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(EFSA PLH Panel) Pest categorisation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Available online </w:t>
      </w:r>
      <w:hyperlink r:id="rId41176945ff468481e" w:history="1">
        <w:r>
          <w:rPr>
            <w:rFonts w:ascii="Calibri" w:hAnsi="Calibri" w:eastAsia="Calibri" w:cs="Calibri"/>
            <w:color w:val="0000CC"/>
            <w:sz w:val="22"/>
            <w:szCs w:val="22"/>
            <w:u w:val="single"/>
          </w:rPr>
          <w:t xml:space="preserve">https://www.efsa.europa.eu/en/efsajournal/pub/5356</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(1941) Bacterial wilt of dent corn inbreds.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262-265.</w:t>
      </w:r>
    </w:p>
    <w:p>
      <w:pPr>
        <w:widowControl w:val="on"/>
        <w:pBdr/>
        <w:spacing w:before="220" w:after="220" w:line="240" w:lineRule="auto"/>
        <w:ind w:left="0" w:right="0"/>
        <w:jc w:val="left"/>
      </w:pPr>
      <w:r>
        <w:rPr>
          <w:rFonts w:ascii="Calibri" w:hAnsi="Calibri" w:eastAsia="Calibri" w:cs="Calibri"/>
          <w:color w:val="000000"/>
          <w:sz w:val="22"/>
          <w:szCs w:val="22"/>
        </w:rPr>
        <w:t xml:space="preserve">Elliott C &amp; Poos FW (1940) Seasonal development, insect vectors and host range of bacterial wilt of sweetcorn.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645-686.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Phytosanitary procedures PM 3/78 (1) Consignment inspection of seed and grain of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Standards PM 7/60 (2) Diagnostics.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226–236.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First report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in Ukraine EPPO Reporting Service no. 03 - 2018, Num. article: 2020/059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06 - 2020, Num. article: 2020/130.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Update on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Reporting Service </w:t>
      </w:r>
      <w:r>
        <w:rPr>
          <w:rFonts w:ascii="Calibri" w:hAnsi="Calibri" w:eastAsia="Calibri" w:cs="Calibri"/>
          <w:color w:val="000000"/>
          <w:sz w:val="22"/>
          <w:szCs w:val="22"/>
        </w:rPr>
        <w:t xml:space="preserve">no. 06 - 2020, Num. article: 2020/129.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Update of the situation of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s</w:t>
      </w:r>
      <w:r>
        <w:rPr>
          <w:rFonts w:ascii="Calibri" w:hAnsi="Calibri" w:eastAsia="Calibri" w:cs="Calibri"/>
          <w:i/>
          <w:iCs/>
          <w:color w:val="000000"/>
          <w:sz w:val="22"/>
          <w:szCs w:val="22"/>
        </w:rPr>
        <w:t xml:space="preserve">tewartii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no. 09 - 2021, Num. article: 2021/201.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(1997)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stewartii</w:t>
      </w:r>
      <w:r>
        <w:rPr>
          <w:rFonts w:ascii="Calibri" w:hAnsi="Calibri" w:eastAsia="Calibri" w:cs="Calibri"/>
          <w:color w:val="000000"/>
          <w:sz w:val="22"/>
          <w:szCs w:val="22"/>
        </w:rPr>
        <w:t xml:space="preserve"> EPPO data sheets on quarantine pests. Available online. </w:t>
      </w:r>
      <w:hyperlink r:id="rId38686945ff4684bd7" w:history="1">
        <w:r>
          <w:rPr>
            <w:rFonts w:ascii="Calibri" w:hAnsi="Calibri" w:eastAsia="Calibri" w:cs="Calibri"/>
            <w:color w:val="0000CC"/>
            <w:sz w:val="22"/>
            <w:szCs w:val="22"/>
            <w:u w:val="single"/>
          </w:rPr>
          <w:t xml:space="preserve">https:// gd.eppo.int/taxon/ERWIST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(1983) Reappearance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the Po Valley. </w:t>
      </w:r>
      <w:r>
        <w:rPr>
          <w:rFonts w:ascii="Calibri" w:hAnsi="Calibri" w:eastAsia="Calibri" w:cs="Calibri"/>
          <w:i/>
          <w:iCs/>
          <w:color w:val="000000"/>
          <w:sz w:val="22"/>
          <w:szCs w:val="22"/>
        </w:rPr>
        <w:t xml:space="preserve">FAO Plant Protection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96.</w:t>
      </w:r>
    </w:p>
    <w:p>
      <w:pPr>
        <w:widowControl w:val="on"/>
        <w:pBdr/>
        <w:spacing w:before="220" w:after="220" w:line="240" w:lineRule="auto"/>
        <w:ind w:left="0" w:right="0"/>
        <w:jc w:val="left"/>
      </w:pPr>
      <w:r>
        <w:rPr>
          <w:rFonts w:ascii="Calibri" w:hAnsi="Calibri" w:eastAsia="Calibri" w:cs="Calibri"/>
          <w:color w:val="000000"/>
          <w:sz w:val="22"/>
          <w:szCs w:val="22"/>
        </w:rPr>
        <w:t xml:space="preserve">Guo YF, Liang ZQ, Lu GQ &amp; Xie BC (1987) [Survival conditions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in stored corn]. </w:t>
      </w:r>
      <w:r>
        <w:rPr>
          <w:rFonts w:ascii="Calibri" w:hAnsi="Calibri" w:eastAsia="Calibri" w:cs="Calibri"/>
          <w:i/>
          <w:iCs/>
          <w:color w:val="000000"/>
          <w:sz w:val="22"/>
          <w:szCs w:val="22"/>
        </w:rPr>
        <w:t xml:space="preserve">Acta Phytophylactica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39-44.</w:t>
      </w:r>
    </w:p>
    <w:p>
      <w:pPr>
        <w:widowControl w:val="on"/>
        <w:pBdr/>
        <w:spacing w:before="220" w:after="220" w:line="240" w:lineRule="auto"/>
        <w:ind w:left="0" w:right="0"/>
        <w:jc w:val="left"/>
      </w:pPr>
      <w:r>
        <w:rPr>
          <w:rFonts w:ascii="Calibri" w:hAnsi="Calibri" w:eastAsia="Calibri" w:cs="Calibri"/>
          <w:color w:val="000000"/>
          <w:sz w:val="22"/>
          <w:szCs w:val="22"/>
        </w:rPr>
        <w:t xml:space="preserve">Heichel GH, Sands DC &amp; Kring JB (1977) Seasonal patterns and reduction by carbofuran of Stewart's bacterial wilt of sweetcorn.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Khan A, Ries SM &amp; Pataky JK (1996) Transmission of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through seed of resistant and susceptible field and sweet corn.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398-403.</w:t>
      </w:r>
    </w:p>
    <w:p>
      <w:pPr>
        <w:widowControl w:val="on"/>
        <w:pBdr/>
        <w:spacing w:before="220" w:after="220" w:line="240" w:lineRule="auto"/>
        <w:ind w:left="0" w:right="0"/>
        <w:jc w:val="left"/>
      </w:pPr>
      <w:r>
        <w:rPr>
          <w:rFonts w:ascii="Calibri" w:hAnsi="Calibri" w:eastAsia="Calibri" w:cs="Calibri"/>
          <w:color w:val="000000"/>
          <w:sz w:val="22"/>
          <w:szCs w:val="22"/>
        </w:rPr>
        <w:t xml:space="preserve">Lamka GL, Hill JH, McGee DC, &amp; Braun EJ (1991) Development of an immunosorbent assay for seed-borne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839-846.</w:t>
      </w:r>
    </w:p>
    <w:p>
      <w:pPr>
        <w:widowControl w:val="on"/>
        <w:pBdr/>
        <w:spacing w:before="220" w:after="220" w:line="240" w:lineRule="auto"/>
        <w:ind w:left="0" w:right="0"/>
        <w:jc w:val="left"/>
      </w:pPr>
      <w:r>
        <w:rPr>
          <w:rFonts w:ascii="Calibri" w:hAnsi="Calibri" w:eastAsia="Calibri" w:cs="Calibri"/>
          <w:color w:val="000000"/>
          <w:sz w:val="22"/>
          <w:szCs w:val="22"/>
        </w:rPr>
        <w:t xml:space="preserve">Mazzucchi U (1984) [Bacterial wilt of maize].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18-23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Mergaert J, Verdonck L &amp; Kersters K (1993) Transfer of </w:t>
      </w:r>
      <w:r>
        <w:rPr>
          <w:rFonts w:ascii="Calibri" w:hAnsi="Calibri" w:eastAsia="Calibri" w:cs="Calibri"/>
          <w:i/>
          <w:iCs/>
          <w:color w:val="000000"/>
          <w:sz w:val="22"/>
          <w:szCs w:val="22"/>
        </w:rPr>
        <w:t xml:space="preserve">Erwinia ananas</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E. uredovora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to the genus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emend. as </w:t>
      </w:r>
      <w:r>
        <w:rPr>
          <w:rFonts w:ascii="Calibri" w:hAnsi="Calibri" w:eastAsia="Calibri" w:cs="Calibri"/>
          <w:i/>
          <w:iCs/>
          <w:color w:val="000000"/>
          <w:sz w:val="22"/>
          <w:szCs w:val="22"/>
        </w:rPr>
        <w:t xml:space="preserve">Pantoea ananas</w:t>
      </w:r>
      <w:r>
        <w:rPr>
          <w:rFonts w:ascii="Calibri" w:hAnsi="Calibri" w:eastAsia="Calibri" w:cs="Calibri"/>
          <w:color w:val="000000"/>
          <w:sz w:val="22"/>
          <w:szCs w:val="22"/>
        </w:rPr>
        <w:t xml:space="preserve"> (Serrano 1928) comb. nov. and </w:t>
      </w:r>
      <w:r>
        <w:rPr>
          <w:rFonts w:ascii="Calibri" w:hAnsi="Calibri" w:eastAsia="Calibri" w:cs="Calibri"/>
          <w:i/>
          <w:iCs/>
          <w:color w:val="000000"/>
          <w:sz w:val="22"/>
          <w:szCs w:val="22"/>
        </w:rPr>
        <w:t xml:space="preserve">Pantoea stewartii</w:t>
      </w:r>
      <w:r>
        <w:rPr>
          <w:rFonts w:ascii="Calibri" w:hAnsi="Calibri" w:eastAsia="Calibri" w:cs="Calibri"/>
          <w:color w:val="000000"/>
          <w:sz w:val="22"/>
          <w:szCs w:val="22"/>
        </w:rPr>
        <w:t xml:space="preserve"> (Smith 1898) comb. nov., respectively and description of </w:t>
      </w:r>
      <w:r>
        <w:rPr>
          <w:rFonts w:ascii="Calibri" w:hAnsi="Calibri" w:eastAsia="Calibri" w:cs="Calibri"/>
          <w:i/>
          <w:iCs/>
          <w:color w:val="000000"/>
          <w:sz w:val="22"/>
          <w:szCs w:val="22"/>
        </w:rPr>
        <w:t xml:space="preserve">Pantoea stewarttii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indologenes</w:t>
      </w:r>
      <w:r>
        <w:rPr>
          <w:rFonts w:ascii="Calibri" w:hAnsi="Calibri" w:eastAsia="Calibri" w:cs="Calibri"/>
          <w:color w:val="000000"/>
          <w:sz w:val="22"/>
          <w:szCs w:val="22"/>
        </w:rPr>
        <w:t xml:space="preserve"> subsp. nov. </w:t>
      </w:r>
      <w:r>
        <w:rPr>
          <w:rFonts w:ascii="Calibri" w:hAnsi="Calibri" w:eastAsia="Calibri" w:cs="Calibri"/>
          <w:i/>
          <w:iCs/>
          <w:color w:val="000000"/>
          <w:sz w:val="22"/>
          <w:szCs w:val="22"/>
        </w:rPr>
        <w:t xml:space="preserve">International Journal of Systematic Bacteriology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162-173.</w:t>
      </w:r>
    </w:p>
    <w:p>
      <w:pPr>
        <w:widowControl w:val="on"/>
        <w:pBdr/>
        <w:spacing w:before="220" w:after="220" w:line="240" w:lineRule="auto"/>
        <w:ind w:left="0" w:right="0"/>
        <w:jc w:val="left"/>
      </w:pPr>
      <w:r>
        <w:rPr>
          <w:rFonts w:ascii="Calibri" w:hAnsi="Calibri" w:eastAsia="Calibri" w:cs="Calibri"/>
          <w:color w:val="000000"/>
          <w:sz w:val="22"/>
          <w:szCs w:val="22"/>
        </w:rPr>
        <w:t xml:space="preserve">Michener PM, Pataky JK &amp; White DG (2002) Rates of transmitting </w:t>
      </w:r>
      <w:r>
        <w:rPr>
          <w:rFonts w:ascii="Calibri" w:hAnsi="Calibri" w:eastAsia="Calibri" w:cs="Calibri"/>
          <w:i/>
          <w:iCs/>
          <w:color w:val="000000"/>
          <w:sz w:val="22"/>
          <w:szCs w:val="22"/>
        </w:rPr>
        <w:t xml:space="preserve">Erwinia stewartii</w:t>
      </w:r>
      <w:r>
        <w:rPr>
          <w:rFonts w:ascii="Calibri" w:hAnsi="Calibri" w:eastAsia="Calibri" w:cs="Calibri"/>
          <w:color w:val="000000"/>
          <w:sz w:val="22"/>
          <w:szCs w:val="22"/>
        </w:rPr>
        <w:t xml:space="preserve"> from seed to seedlings of a sweet corn hybrid susceptible to Stewart’s wilt.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1031-1035.</w:t>
      </w:r>
    </w:p>
    <w:p>
      <w:pPr>
        <w:widowControl w:val="on"/>
        <w:pBdr/>
        <w:spacing w:before="220" w:after="220" w:line="240" w:lineRule="auto"/>
        <w:ind w:left="0" w:right="0"/>
        <w:jc w:val="left"/>
      </w:pPr>
      <w:r>
        <w:rPr>
          <w:rFonts w:ascii="Calibri" w:hAnsi="Calibri" w:eastAsia="Calibri" w:cs="Calibri"/>
          <w:color w:val="000000"/>
          <w:sz w:val="22"/>
          <w:szCs w:val="22"/>
        </w:rPr>
        <w:t xml:space="preserve">NSHS (2021) ELISA –based seed health testing method for </w:t>
      </w:r>
      <w:r>
        <w:rPr>
          <w:rFonts w:ascii="Calibri" w:hAnsi="Calibri" w:eastAsia="Calibri" w:cs="Calibri"/>
          <w:i/>
          <w:iCs/>
          <w:color w:val="000000"/>
          <w:sz w:val="22"/>
          <w:szCs w:val="22"/>
        </w:rPr>
        <w:t xml:space="preserve">Pantoea stewartii. </w:t>
      </w:r>
      <w:r>
        <w:rPr>
          <w:rFonts w:ascii="Calibri" w:hAnsi="Calibri" w:eastAsia="Calibri" w:cs="Calibri"/>
          <w:color w:val="000000"/>
          <w:sz w:val="22"/>
          <w:szCs w:val="22"/>
        </w:rPr>
        <w:t xml:space="preserve">Available online </w:t>
      </w:r>
      <w:hyperlink r:id="rId82406945ff46851db" w:history="1">
        <w:r>
          <w:rPr>
            <w:rFonts w:ascii="Calibri" w:hAnsi="Calibri" w:eastAsia="Calibri" w:cs="Calibri"/>
            <w:color w:val="0000CC"/>
            <w:sz w:val="22"/>
            <w:szCs w:val="22"/>
            <w:u w:val="single"/>
          </w:rPr>
          <w:t xml:space="preserve">https://seedhealth.org/files/2021/03/Mz-10.1-Pantoea-stewartii-ver-1.2.pdf</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Hawk JA, Weldekidan T &amp; Fallah Moghaddam P (1995) Incidence and severity of Stewart’s bacterial wilt on sequential plantings of resistant and susceptible sweet corn hybrids.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1202–1207.</w:t>
      </w:r>
    </w:p>
    <w:p>
      <w:pPr>
        <w:widowControl w:val="on"/>
        <w:pBdr/>
        <w:spacing w:before="220" w:after="220" w:line="240" w:lineRule="auto"/>
        <w:ind w:left="0" w:right="0"/>
        <w:jc w:val="left"/>
      </w:pPr>
      <w:r>
        <w:rPr>
          <w:rFonts w:ascii="Calibri" w:hAnsi="Calibri" w:eastAsia="Calibri" w:cs="Calibri"/>
          <w:color w:val="000000"/>
          <w:sz w:val="22"/>
          <w:szCs w:val="22"/>
        </w:rPr>
        <w:t xml:space="preserve">Pataky JK (2003) Stewart’s wilt of corn. Available online </w:t>
      </w:r>
      <w:hyperlink r:id="rId96386945ff468527c" w:history="1">
        <w:r>
          <w:rPr>
            <w:rFonts w:ascii="Calibri" w:hAnsi="Calibri" w:eastAsia="Calibri" w:cs="Calibri"/>
            <w:color w:val="0000CC"/>
            <w:sz w:val="22"/>
            <w:szCs w:val="22"/>
            <w:u w:val="single"/>
          </w:rPr>
          <w:t xml:space="preserve">https://www.apsnet.org/edcenter/apsnetfeatures/Pages/StewartsWilt.aspx</w:t>
        </w:r>
      </w:hyperlink>
      <w:r>
        <w:rPr>
          <w:rFonts w:ascii="Calibri" w:hAnsi="Calibri" w:eastAsia="Calibri" w:cs="Calibri"/>
          <w:color w:val="000000"/>
          <w:sz w:val="22"/>
          <w:szCs w:val="22"/>
        </w:rPr>
        <w:t xml:space="preserve">  [accessed on 2021-12-01].</w:t>
      </w:r>
    </w:p>
    <w:p>
      <w:pPr>
        <w:widowControl w:val="on"/>
        <w:pBdr/>
        <w:spacing w:before="220" w:after="220" w:line="240" w:lineRule="auto"/>
        <w:ind w:left="0" w:right="0"/>
        <w:jc w:val="left"/>
      </w:pPr>
      <w:r>
        <w:rPr>
          <w:rFonts w:ascii="Calibri" w:hAnsi="Calibri" w:eastAsia="Calibri" w:cs="Calibri"/>
          <w:color w:val="000000"/>
          <w:sz w:val="22"/>
          <w:szCs w:val="22"/>
        </w:rPr>
        <w:t xml:space="preserve">Pepper EH (1967)</w:t>
      </w:r>
      <w:r>
        <w:rPr>
          <w:rFonts w:ascii="Calibri" w:hAnsi="Calibri" w:eastAsia="Calibri" w:cs="Calibri"/>
          <w:i/>
          <w:iCs/>
          <w:color w:val="000000"/>
          <w:sz w:val="22"/>
          <w:szCs w:val="22"/>
        </w:rPr>
        <w:t xml:space="preserve"> Stewart's bacterial wilt of corn. </w:t>
      </w:r>
      <w:r>
        <w:rPr>
          <w:rFonts w:ascii="Calibri" w:hAnsi="Calibri" w:eastAsia="Calibri" w:cs="Calibri"/>
          <w:color w:val="000000"/>
          <w:sz w:val="22"/>
          <w:szCs w:val="22"/>
        </w:rPr>
        <w:t xml:space="preserve">Monographs of the American Phytopathological Society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4. American Phytopathological Society, St. Paul, Minnesota (US).</w:t>
      </w:r>
    </w:p>
    <w:p>
      <w:pPr>
        <w:widowControl w:val="on"/>
        <w:pBdr/>
        <w:spacing w:before="220" w:after="220" w:line="240" w:lineRule="auto"/>
        <w:ind w:left="0" w:right="0"/>
        <w:jc w:val="left"/>
      </w:pPr>
      <w:r>
        <w:rPr>
          <w:rFonts w:ascii="Calibri" w:hAnsi="Calibri" w:eastAsia="Calibri" w:cs="Calibri"/>
          <w:color w:val="000000"/>
          <w:sz w:val="22"/>
          <w:szCs w:val="22"/>
        </w:rPr>
        <w:t xml:space="preserve">Poos FW (1939). Host plants harboring </w:t>
      </w:r>
      <w:r>
        <w:rPr>
          <w:rFonts w:ascii="Calibri" w:hAnsi="Calibri" w:eastAsia="Calibri" w:cs="Calibri"/>
          <w:i/>
          <w:iCs/>
          <w:color w:val="000000"/>
          <w:sz w:val="22"/>
          <w:szCs w:val="22"/>
        </w:rPr>
        <w:t xml:space="preserve">Aplanobacter stewarti</w:t>
      </w:r>
      <w:r>
        <w:rPr>
          <w:rFonts w:ascii="Calibri" w:hAnsi="Calibri" w:eastAsia="Calibri" w:cs="Calibri"/>
          <w:color w:val="000000"/>
          <w:sz w:val="22"/>
          <w:szCs w:val="22"/>
        </w:rPr>
        <w:t xml:space="preserve"> without showing external symptoms after inoculation by </w:t>
      </w:r>
      <w:r>
        <w:rPr>
          <w:rFonts w:ascii="Calibri" w:hAnsi="Calibri" w:eastAsia="Calibri" w:cs="Calibri"/>
          <w:i/>
          <w:iCs/>
          <w:color w:val="000000"/>
          <w:sz w:val="22"/>
          <w:szCs w:val="22"/>
        </w:rPr>
        <w:t xml:space="preserve">Chaetocnema pulicaria.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(6), 881-882</w:t>
      </w:r>
    </w:p>
    <w:p>
      <w:pPr>
        <w:widowControl w:val="on"/>
        <w:pBdr/>
        <w:spacing w:before="220" w:after="220" w:line="240" w:lineRule="auto"/>
        <w:ind w:left="0" w:right="0"/>
        <w:jc w:val="left"/>
      </w:pPr>
      <w:r>
        <w:rPr>
          <w:rFonts w:ascii="Calibri" w:hAnsi="Calibri" w:eastAsia="Calibri" w:cs="Calibri"/>
          <w:color w:val="000000"/>
          <w:sz w:val="22"/>
          <w:szCs w:val="22"/>
        </w:rPr>
        <w:t xml:space="preserve">Robert AL (1967)</w:t>
      </w:r>
      <w:r>
        <w:rPr>
          <w:rFonts w:ascii="Calibri" w:hAnsi="Calibri" w:eastAsia="Calibri" w:cs="Calibri"/>
          <w:i/>
          <w:iCs/>
          <w:color w:val="000000"/>
          <w:sz w:val="22"/>
          <w:szCs w:val="22"/>
        </w:rPr>
        <w:t xml:space="preserve"> Bacterial wilt and Stewart's leaf blight of corn. Farmers' Bulletin, US Department of Agriculture </w:t>
      </w:r>
      <w:r>
        <w:rPr>
          <w:rFonts w:ascii="Calibri" w:hAnsi="Calibri" w:eastAsia="Calibri" w:cs="Calibri"/>
          <w:color w:val="000000"/>
          <w:sz w:val="22"/>
          <w:szCs w:val="22"/>
        </w:rPr>
        <w:t xml:space="preserve">No. 2092, 12 pp</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Shurtleff MC (Editor) (1980)</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 compendium of corn diseases</w:t>
      </w:r>
      <w:r>
        <w:rPr>
          <w:rFonts w:ascii="Calibri" w:hAnsi="Calibri" w:eastAsia="Calibri" w:cs="Calibri"/>
          <w:i/>
          <w:iCs/>
          <w:color w:val="000000"/>
          <w:sz w:val="22"/>
          <w:szCs w:val="22"/>
        </w:rPr>
        <w:t xml:space="preserve">. American Phytopathological Society, St. Paul, Minnesota</w:t>
      </w:r>
      <w:r>
        <w:rPr>
          <w:rFonts w:ascii="Calibri" w:hAnsi="Calibri" w:eastAsia="Calibri" w:cs="Calibri"/>
          <w:color w:val="000000"/>
          <w:sz w:val="22"/>
          <w:szCs w:val="22"/>
        </w:rPr>
        <w:t xml:space="preserve"> (US).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J. Németh.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Pantoea stewartii subsp. stewartii</w:t>
      </w:r>
      <w:r>
        <w:rPr>
          <w:rFonts w:ascii="Calibri" w:hAnsi="Calibri" w:eastAsia="Calibri" w:cs="Calibri"/>
          <w:color w:val="000000"/>
          <w:sz w:val="22"/>
          <w:szCs w:val="22"/>
        </w:rPr>
        <w:t xml:space="preserve">. EPPO datasheets on pests recommended for regulation. Available online. </w:t>
      </w:r>
      <w:hyperlink r:id="rId95116945ff468553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 on Quarantine Organisms no 54: </w:t>
      </w:r>
      <w:r>
        <w:rPr>
          <w:rFonts w:ascii="Calibri" w:hAnsi="Calibri" w:eastAsia="Calibri" w:cs="Calibri"/>
          <w:i/>
          <w:iCs/>
          <w:color w:val="000000"/>
          <w:sz w:val="22"/>
          <w:szCs w:val="22"/>
        </w:rPr>
        <w:t xml:space="preserve">Erwinia stewartii. EPPO Bulletin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30-35. </w:t>
      </w:r>
      <w:hyperlink r:id="rId53136945ff468567e" w:history="1">
        <w:r>
          <w:rPr>
            <w:rFonts w:ascii="Calibri" w:hAnsi="Calibri" w:eastAsia="Calibri" w:cs="Calibri"/>
            <w:color w:val="0000CC"/>
            <w:sz w:val="22"/>
            <w:szCs w:val="22"/>
            <w:u w:val="single"/>
          </w:rPr>
          <w:t xml:space="preserve">https://doi.org/10.1111/j.1365-2338.1978.tb02766.x</w:t>
        </w:r>
      </w:hyperlink>
      <w:r>
        <w:rPr>
          <w:rFonts w:ascii="Calibri" w:hAnsi="Calibri" w:eastAsia="Calibri" w:cs="Calibri"/>
          <w:color w:val="000000"/>
          <w:sz w:val="22"/>
          <w:szCs w:val="22"/>
        </w:rPr>
        <w:t xml:space="preserve"> </w:t>
      </w:r>
    </w:p>
    <w:p>
      <w:r>
        <w:drawing>
          <wp:inline distT="0" distB="0" distL="0" distR="0">
            <wp:extent cx="1800000" cy="604800"/>
            <wp:docPr id="79511340" name="name61686945ff46856f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746945ff46856f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92234">
    <w:multiLevelType w:val="hybridMultilevel"/>
    <w:lvl w:ilvl="0" w:tplc="14062847">
      <w:start w:val="1"/>
      <w:numFmt w:val="decimal"/>
      <w:lvlText w:val="%1."/>
      <w:lvlJc w:val="left"/>
      <w:pPr>
        <w:ind w:left="720" w:hanging="360"/>
      </w:pPr>
    </w:lvl>
    <w:lvl w:ilvl="1" w:tplc="14062847" w:tentative="1">
      <w:start w:val="1"/>
      <w:numFmt w:val="lowerLetter"/>
      <w:lvlText w:val="%2."/>
      <w:lvlJc w:val="left"/>
      <w:pPr>
        <w:ind w:left="1440" w:hanging="360"/>
      </w:pPr>
    </w:lvl>
    <w:lvl w:ilvl="2" w:tplc="14062847" w:tentative="1">
      <w:start w:val="1"/>
      <w:numFmt w:val="lowerRoman"/>
      <w:lvlText w:val="%3."/>
      <w:lvlJc w:val="right"/>
      <w:pPr>
        <w:ind w:left="2160" w:hanging="180"/>
      </w:pPr>
    </w:lvl>
    <w:lvl w:ilvl="3" w:tplc="14062847" w:tentative="1">
      <w:start w:val="1"/>
      <w:numFmt w:val="decimal"/>
      <w:lvlText w:val="%4."/>
      <w:lvlJc w:val="left"/>
      <w:pPr>
        <w:ind w:left="2880" w:hanging="360"/>
      </w:pPr>
    </w:lvl>
    <w:lvl w:ilvl="4" w:tplc="14062847" w:tentative="1">
      <w:start w:val="1"/>
      <w:numFmt w:val="lowerLetter"/>
      <w:lvlText w:val="%5."/>
      <w:lvlJc w:val="left"/>
      <w:pPr>
        <w:ind w:left="3600" w:hanging="360"/>
      </w:pPr>
    </w:lvl>
    <w:lvl w:ilvl="5" w:tplc="14062847" w:tentative="1">
      <w:start w:val="1"/>
      <w:numFmt w:val="lowerRoman"/>
      <w:lvlText w:val="%6."/>
      <w:lvlJc w:val="right"/>
      <w:pPr>
        <w:ind w:left="4320" w:hanging="180"/>
      </w:pPr>
    </w:lvl>
    <w:lvl w:ilvl="6" w:tplc="14062847" w:tentative="1">
      <w:start w:val="1"/>
      <w:numFmt w:val="decimal"/>
      <w:lvlText w:val="%7."/>
      <w:lvlJc w:val="left"/>
      <w:pPr>
        <w:ind w:left="5040" w:hanging="360"/>
      </w:pPr>
    </w:lvl>
    <w:lvl w:ilvl="7" w:tplc="14062847" w:tentative="1">
      <w:start w:val="1"/>
      <w:numFmt w:val="lowerLetter"/>
      <w:lvlText w:val="%8."/>
      <w:lvlJc w:val="left"/>
      <w:pPr>
        <w:ind w:left="5760" w:hanging="360"/>
      </w:pPr>
    </w:lvl>
    <w:lvl w:ilvl="8" w:tplc="14062847" w:tentative="1">
      <w:start w:val="1"/>
      <w:numFmt w:val="lowerRoman"/>
      <w:lvlText w:val="%9."/>
      <w:lvlJc w:val="right"/>
      <w:pPr>
        <w:ind w:left="6480" w:hanging="180"/>
      </w:pPr>
    </w:lvl>
  </w:abstractNum>
  <w:abstractNum w:abstractNumId="45892233">
    <w:multiLevelType w:val="hybridMultilevel"/>
    <w:lvl w:ilvl="0" w:tplc="12468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92233">
    <w:abstractNumId w:val="45892233"/>
  </w:num>
  <w:num w:numId="45892234">
    <w:abstractNumId w:val="458922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09070631" Type="http://schemas.microsoft.com/office/2011/relationships/commentsExtended" Target="commentsExtended.xml"/><Relationship Id="rId278783733" Type="http://schemas.microsoft.com/office/2011/relationships/people" Target="people.xml"/><Relationship Id="rId47706945ff4681a53" Type="http://schemas.openxmlformats.org/officeDocument/2006/relationships/hyperlink" Target="https://gd.eppo.int/taxon/ERWIST/" TargetMode="External"/><Relationship Id="rId22516945ff4681ac1" Type="http://schemas.openxmlformats.org/officeDocument/2006/relationships/hyperlink" Target="https://gd.eppo.int/taxon/ERWIST/categorization" TargetMode="External"/><Relationship Id="rId70056945ff46822de" Type="http://schemas.openxmlformats.org/officeDocument/2006/relationships/hyperlink" Target="https://gd.eppo.int/taxon/ERWIST/photos" TargetMode="External"/><Relationship Id="rId77696945ff468473e" Type="http://schemas.openxmlformats.org/officeDocument/2006/relationships/hyperlink" Target="https://cabi.org/isc/datasheet/21939" TargetMode="External"/><Relationship Id="rId41176945ff468481e" Type="http://schemas.openxmlformats.org/officeDocument/2006/relationships/hyperlink" Target="https://www.efsa.europa.eu/en/efsajournal/pub/5356" TargetMode="External"/><Relationship Id="rId38686945ff4684bd7" Type="http://schemas.openxmlformats.org/officeDocument/2006/relationships/hyperlink" Target="https://%20gd.eppo.int/taxon/ERWIST" TargetMode="External"/><Relationship Id="rId82406945ff46851db" Type="http://schemas.openxmlformats.org/officeDocument/2006/relationships/hyperlink" Target="https://seedhealth.org/files/2021/03/Mz-10.1-Pantoea-stewartii-ver-1.2.pdf" TargetMode="External"/><Relationship Id="rId96386945ff468527c" Type="http://schemas.openxmlformats.org/officeDocument/2006/relationships/hyperlink" Target="https://www.apsnet.org/edcenter/apsnetfeatures/Pages/StewartsWilt.aspx" TargetMode="External"/><Relationship Id="rId95116945ff4685531" Type="http://schemas.openxmlformats.org/officeDocument/2006/relationships/hyperlink" Target="https://gd.eppo.int" TargetMode="External"/><Relationship Id="rId53136945ff468567e" Type="http://schemas.openxmlformats.org/officeDocument/2006/relationships/hyperlink" Target="https://doi.org/10.1111/j.1365-2338.1978.tb02766.x" TargetMode="External"/><Relationship Id="rId52726945ff468218d" Type="http://schemas.openxmlformats.org/officeDocument/2006/relationships/image" Target="media/imgrId52726945ff468218d.jpg"/><Relationship Id="rId72046945ff4683a28" Type="http://schemas.openxmlformats.org/officeDocument/2006/relationships/image" Target="media/imgrId72046945ff4683a28.jpg"/><Relationship Id="rId68746945ff46856f2" Type="http://schemas.openxmlformats.org/officeDocument/2006/relationships/image" Target="media/imgrId68746945ff46856f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