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papa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papa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Orlova-Bienkowskaja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hyperlink r:id="rId99896a95f56e3c95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81556a95f56e3c9c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EPIXPP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235483" name="name89096a95f56e3d0f6" descr="1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7.jpg"/>
                          <pic:cNvPicPr/>
                        </pic:nvPicPr>
                        <pic:blipFill>
                          <a:blip r:embed="rId92156a95f56e3d0f4" cstate="print"/>
                          <a:stretch>
                            <a:fillRect/>
                          </a:stretch>
                        </pic:blipFill>
                        <pic:spPr>
                          <a:xfrm>
                            <a:off x="0" y="0"/>
                            <a:ext cx="2160000" cy="1281600"/>
                          </a:xfrm>
                          <a:prstGeom prst="rect">
                            <a:avLst/>
                          </a:prstGeom>
                          <a:ln w="0">
                            <a:noFill/>
                          </a:ln>
                        </pic:spPr>
                      </pic:pic>
                    </a:graphicData>
                  </a:graphic>
                </wp:inline>
              </w:drawing>
            </w:r>
            <w:hyperlink r:id="rId13216a95f56e3d1e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to date 162 described flea beetle species worldwide (Bienkowski &amp; Orlova-Bienkowskaja, 2017), and many undescribed species (Deczynski, 2016). The majority of the described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of American origin (Döberl, 2000) and most are native to the neotropics (Deczynski, 2016). A few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associated with potato, such as the north American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(Gentner, 1944), and the south American species </w:t>
      </w:r>
      <w:r>
        <w:rPr>
          <w:rFonts w:ascii="Calibri" w:hAnsi="Calibri" w:eastAsia="Calibri" w:cs="Calibri"/>
          <w:i/>
          <w:iCs/>
          <w:color w:val="000000"/>
          <w:sz w:val="22"/>
          <w:szCs w:val="22"/>
        </w:rPr>
        <w:t xml:space="preserve">E. yanazara, E. ubaquensis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hilariana rubia</w:t>
      </w:r>
      <w:r>
        <w:rPr>
          <w:rFonts w:ascii="Calibri" w:hAnsi="Calibri" w:eastAsia="Calibri" w:cs="Calibri"/>
          <w:color w:val="000000"/>
          <w:sz w:val="22"/>
          <w:szCs w:val="22"/>
        </w:rPr>
        <w:t xml:space="preserve"> (collectively named ‘pulguilla saltona’) (Alcázar, 1997).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Orlova-Bienkowskaja was initially misidentified in 2009 as the North-American species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(Doguet, 2009; Boavida &amp; Germain, 2009) but in 2015 was found to be a new species, following a taxonomic revision of the described Holarctic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(Orlova-Bienkowskaja, 2015). Consequently, the data published prior to 2015 on the Portuguese and Spanish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in fact relate to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often found together with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reported collectively as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given the impossibility of distinguishing the species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may feed temporarily on plants from other botanical families when they do not have access to their solanaceous hosts, but no records exist on the possibility of larval development on non-solanaceous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has also been observed on aubergine crops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but damage on this crop is not important and only leaves are affected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Other solanaceous host plants include common weeds such as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cutleaf nightshade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(Boavida &amp; Germain, 2009). All these secondary host plant species are important food sources for the survival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populations when potato is not available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the same applies to plants from different botanical families where the adults may feed temporarily, such as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 (Amaranthaceae) recorded by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these different host plant species are not equally suitable for the multiplication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as demonstrated in laboratory experiments. In these experiments,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produced the highest number of offspring on potato and on black nightshade, followed by aubergine and jimsonweed, with the lowest number of offspring produced on tomato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no reproduction on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and native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are unknown (Orlova-Bienkowskaja, 2015). 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supposed to have been introduced around 2004 in the North of Portugal (Oporto), but remained unnoticed until 2008, when it was detected in two important potato cropping zones in the centre of Portugal (Centro and Lisboa e Vale do Tejo)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Boavida &amp; Germain, 2009). In Spain,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was first detected in 2008 in Galicia, close to the Portuguese border (Boavida &amp; Germain, 2009).</w:t>
      </w:r>
    </w:p>
    <w:p>
      <w:r>
        <w:drawing>
          <wp:inline distT="0" distB="0" distL="0" distR="0">
            <wp:extent cx="6120000" cy="3067200"/>
            <wp:docPr id="61025228" name="name65376a95f56e3e4e5" descr="EPIXP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PP_distribution_map.jpg"/>
                    <pic:cNvPicPr/>
                  </pic:nvPicPr>
                  <pic:blipFill>
                    <a:blip r:embed="rId83066a95f56e3e4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Azores, Madeira), Spain (mainland)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similar to those of the economically important American tuber flea beetle species, </w:t>
      </w:r>
      <w:r>
        <w:rPr>
          <w:rFonts w:ascii="Calibri" w:hAnsi="Calibri" w:eastAsia="Calibri" w:cs="Calibri"/>
          <w:i/>
          <w:iCs/>
          <w:color w:val="000000"/>
          <w:sz w:val="22"/>
          <w:szCs w:val="22"/>
        </w:rPr>
        <w:t xml:space="preserve">E. tuberis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yanazara </w:t>
      </w:r>
      <w:r>
        <w:rPr>
          <w:rFonts w:ascii="Calibri" w:hAnsi="Calibri" w:eastAsia="Calibri" w:cs="Calibri"/>
          <w:color w:val="000000"/>
          <w:sz w:val="22"/>
          <w:szCs w:val="22"/>
        </w:rPr>
        <w:t xml:space="preserve">(Hoerner &amp; Gillette, 1928; Hill &amp; Tate, 1942; Alcázar, 1997). The adults overwinter in and around the fields where they developed, buried in the soil or under leaf litter and other debris. They become active at the end of winter, when the temperature warms up, leave their winter refuges and start feeding on alternative host plant species available, until the potato plants develop. The emergence of the overwintered adults is gradual, and may start in early March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later in April (MAPAMA, 2017) depending on the climate. When they find a potato plantation, the overwintered adults settle on the potato plants, feed, and mate. After a pre-oviposition period, the female lays eggs below the soil surface, close to the stems of the potato plants. After the eggs hatch, the larvae move to the roots for feeding. When fully-grown, larvae stop feeding, move away from the root zone, to build a pupation chamber with soil particles in which the insect transforms into an adult. After emerging from the soil, the adults of the first generation feed on the foliage of the potato or other host-plants and multiply, to produce the second generation.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was studied in the laboratory at different temperatures. The development time from egg to adult was 102 days at 15ºC, 48 days at 20ºC, 34 days at 25ºC and 30 days at 30ºC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mean preoviposition period ranged from 20 to 7 days, the oviposition period from 115 to 44 days, and the females fecundity from 64 to 190 eggs, at 15ºC and 25ºC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these data, a degree-day model of developmental rates as a function of temperature was calculated, allowing an estimation of the lower limit for completion of one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generation as 625 degree-days above 8.1 °C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this model, three complete generations per year and a partial fourth are possible in most cropping zones of Portugal. The first generation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expected to develop from egg to adult in a minimum of 7 weeks, and the following generations will develop much faster, in 4-5 weeks. The first generation larvae develop from April to late May, mostly on seed potatoes, small immature tubers and roots of early planted crops, while the larvae of the second generation develop from mid June onwards, hence developing mostly on maturing tubers of mid- and late season crops. The second larval generation is more damaging than the first one, because the second generation larvae are more abundant and also because the feeding wounds caused by the larvae on the maturing tubers in the process of skin suberization are deeper and remain conspicuous until harvest, whereas the lesions caused on small developing tubers are frequently blurred into the skin during the process of tuber growth. The larvae of the third generation develop on alternate hosts from mid August onwards, a period when most of the potato crops have been harvested, and therefore the larvae of this generation do not represent in most cases a threat for potato production.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adults disperse by flight, jumping and walking.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flea beetles.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types of tuber injury caused by larval feeding are similar to those caused by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The larva may tunnel underneath the skin, producing winding superficial trails, called ‘worm-tracks’ or ‘serpentines’ (Gentner, 1944;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They may also feed from the outside, burrowing into the flesh, almost at a right angle to the surface, causing a dark splinter full of corky material which mostly penetrates up to 3 mm but may reach 9 mm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type of injury is similar to the one described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the USA as a ‘sliver’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Rough skin, and scab-like lesions are sometimes observed in association with the larval attack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Tuber flea beetle lesions have been claimed to favour the penetration of different pathogens, and Schaal (1934) demonstrated that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This may also be the case for </w:t>
      </w:r>
      <w:r>
        <w:rPr>
          <w:rFonts w:ascii="Calibri" w:hAnsi="Calibri" w:eastAsia="Calibri" w:cs="Calibri"/>
          <w:i/>
          <w:iCs/>
          <w:color w:val="000000"/>
          <w:sz w:val="22"/>
          <w:szCs w:val="22"/>
        </w:rPr>
        <w:t xml:space="preserve">E. papa.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elytral punctures arranged into rows, and characteristic rows of erect setae on the intervals (Döberl, 2000; EPPO, 2017).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 and Orlova-Bienkowskaja (2015) allow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elliptical, white, with a reticulate surface, approximately 0.5 mm in length and 0.2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in colour, threadlike, and approximately 1.0 mm long. The full-grown larva is white, with the head and thoracic shield light brown, and approximately 5 mm in length.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pearly white and approximately 2.5 mm long and 1.5 mm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black beetles with a weak bronze reflection, rows of short white hairs along the elytra, 1.7-2.2 mm long. The hind femurs are enlarged, adapted to jumping.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 When present at potato harvest, some larvae may be hidden inside the ‘worm tracks’, and others may expose the terminal part of their abdomens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stages can be made reliably by non-specialists, using molecular methods (DNA barcoding on cytochrome c oxidase subunit I (COI) gene)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the pathway for its introduction in Portugal are unknown. The adults disperse naturally by flight, walking and jumping, but long distance spread is through the commercial transport of seed or ware potato tubers, when associated with soil and plant debris (EPPO, 2016;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from an infested field, adults and pupae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may be present in the stubble and soil, and larvae in the tubers. Adult beetles may be carried passively on the surface of potatoes, or with the soil adhering to potato tubers. This possibility would be higher in exports of seed potatoes, because potatoes are not washed. At harvest, larvae present inside well suberized ‘worm-tracks’ may be transported with the tuber, however no data exists on the possibility of these larvae surviving and completing development. By contrast, larvae feeding outside the tuber escape rapidly and hence will not be transported.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‘worm-track’ lesions caused by the larvae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are mostly superficial and do not affect the tuber’s quality, but have a marked negative visual impact in certain trade markets, which may result in the rejection or the commercial downgrading of the potato exports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Vernon &amp; Herk, 2017). When present, ‘slivers’ oblige deeper peeling of the potatoes before consumption, and may cause some production losses. In Canada, a potato lot is commercially downgraded when more than 5% of the tubers are injured by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(EPPO, 2011). To prevent economic damage, the crops are treated with insecticides, which increases the production costs (Vernon &amp; Herk, 2017). In the countries where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reported, official eradication and containment measures are implemented, which include insecticide treatments targeting specifically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and brushing / washing the harvested tubers to remove the pest and the soil (EU, 2018). The related costs represent an additional burden to the crop’s production, and the recommended early season insecticide sprays pose a risk to the pollinating fauna.</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is not expected to have an important impact on yield, because it can be compensated for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records of efficient natural enemies of </w:t>
      </w:r>
      <w:r>
        <w:rPr>
          <w:rFonts w:ascii="Calibri" w:hAnsi="Calibri" w:eastAsia="Calibri" w:cs="Calibri"/>
          <w:i/>
          <w:iCs/>
          <w:color w:val="000000"/>
          <w:sz w:val="22"/>
          <w:szCs w:val="22"/>
        </w:rPr>
        <w:t xml:space="preserve">E. papa.</w:t>
      </w:r>
    </w:p>
    <w:p>
      <w:pPr>
        <w:widowControl w:val="on"/>
        <w:pBdr/>
        <w:spacing w:before="220" w:after="220" w:line="240" w:lineRule="auto"/>
        <w:ind w:left="0" w:right="0"/>
        <w:jc w:val="both"/>
      </w:pPr>
      <w:r>
        <w:rPr>
          <w:rFonts w:ascii="Calibri" w:hAnsi="Calibri" w:eastAsia="Calibri" w:cs="Calibri"/>
          <w:color w:val="000000"/>
          <w:sz w:val="22"/>
          <w:szCs w:val="22"/>
        </w:rPr>
        <w:t xml:space="preserve">Without control measures, and with favourable climatic conditions,</w:t>
      </w:r>
      <w:r>
        <w:rPr>
          <w:rFonts w:ascii="Calibri" w:hAnsi="Calibri" w:eastAsia="Calibri" w:cs="Calibri"/>
          <w:i/>
          <w:iCs/>
          <w:color w:val="000000"/>
          <w:sz w:val="22"/>
          <w:szCs w:val="22"/>
        </w:rPr>
        <w:t xml:space="preserve"> E. papa</w:t>
      </w:r>
      <w:r>
        <w:rPr>
          <w:rFonts w:ascii="Calibri" w:hAnsi="Calibri" w:eastAsia="Calibri" w:cs="Calibri"/>
          <w:color w:val="000000"/>
          <w:sz w:val="22"/>
          <w:szCs w:val="22"/>
        </w:rPr>
        <w:t xml:space="preserve"> can multiply rapidly to damaging population levels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particular in zones with an extended potato growing season, allowing the development of two complete generations in its preferred host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Portugal and Spain, the populations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were drastically reduced after the pest was identified and control measures were implemented. The control strategy is based on the IPM program carried out in Canada against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(Vernon &amp; Herk, 2017). This program combines cultural measures, for reducing the population of overwintered adults, with insecticide treatments. The cultural measures are the cornerstone of the strategy and include the destruction of overwintering places, the rotation with non-solanaceous crops, and when feasible, the adaptation of the planting schedules (Hoerner &amp; Gillette, 1928; Vernon &amp; Herk, 2017). A 3-year potato rotation is recommended to avoid the on-site overwintering of the beetles, together with the destruction of potato culls and volunteers. In Canada, the need for insecticide treatments against the related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decided on the basis of weekly estimations of the population density of the adults on the plants, by visual inspection of the foliage until the plants are 30 cm tall and later with a sweep net (Vernon &amp; Herk, 2017). Based on experience, a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was developed (EPPO, 2016). No damage thresholds exist yet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the mandatory treatments in the demarcated areas of Portugal and Spain stipulated by the Commission Implementing Decision 2012/270/EU of 16 May 2012 (EU, 2018) are recommended to start very early in the season, as soon as the overwintered beetles start colonizing the early potato crops (DGAV, 2018; 2019; MAPAMA, 2019). The negative impact of these early season treatments on beneficial insects can be mitigated if the treatments are directed to specific spots or rows infested by the beetles, avoiding spraying the entire field. Indeed, in well rotated fields the overwintered colonizing beetles tend to settle and feed initially on the border rows of the crop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 Portugal and Spain indicates that the species could establish in at least the Mediterranean Basin (EPPO, 2011). Distribution models based on climatic variables of the currently known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indicate that the species would not find suitable climatic conditions in northern parts of the EPPO region, namely in Norway (VKM, 2019). However, according to a degree-day model of developmental rates as a function of temperature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area potentially at risk of establishment would be larger, and would include a few regions located in southern Norway (VKM, 2019).</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can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could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risks identified in a Pest Risk Analysis carried out by EPPO on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to potato tubers (EPPO 2011), 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in the EPPO potato Standard PM 8/1 (EPPO, 2017b) for the international trade of seed (except micropropagative material and minitubers) and ware potatoes. This Standard recommends that seed potatoes should be washed or brushed so that they are free from plant debris and have no more than 0.1% w/w of soil remaining, and where appropriate subject to transitional arrangements (pest-free area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origin from a pest-free potato production and distribution system for the pest, according to EPPO Standard PM 3/61 (2) (EPPO, 2019)). For ware potatoes this Standard recommends that either (a) measures as described in EPPO Standard PM 9/22 (EPPO, 2016)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should have been implemented to ensure that there is no risk of spreading this pest, or (b) that there should be absence of plant debris and no more than 0.1% w/w of soil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(1997) Principales plagas de la papa: Gorgojo de los Andes,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y Gusanos de tierra. In: O. Hidalgo (ed.). Centro Internacional de la Papa (CIP). Manual de Capacitación. Lima – Perú. Fascículo 3.6-97, 1-7.</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&amp; Germain JF (2009) Identification and pest status of two exotic flea beetle species newly introduced in Portugal: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Gentner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Giltrap N, Cuthbertson A &amp; Northing P (2013)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in Portugal: damage patterns in potato and suitability of potential host plants for reproduction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i/>
          <w:iCs/>
          <w:color w:val="000000"/>
          <w:sz w:val="22"/>
          <w:szCs w:val="22"/>
        </w:rPr>
        <w:t xml:space="preserve"> </w:t>
      </w:r>
      <w:r>
        <w:rPr>
          <w:rFonts w:ascii="Calibri" w:hAnsi="Calibri" w:eastAsia="Calibri" w:cs="Calibri"/>
          <w:b/>
          <w:bCs/>
          <w:i/>
          <w:iCs/>
          <w:color w:val="000000"/>
          <w:sz w:val="22"/>
          <w:szCs w:val="22"/>
        </w:rPr>
        <w:t xml:space="preserve">43</w:t>
      </w:r>
      <w:r>
        <w:rPr>
          <w:rFonts w:ascii="Calibri" w:hAnsi="Calibri" w:eastAsia="Calibri" w:cs="Calibri"/>
          <w:i/>
          <w:iCs/>
          <w:color w:val="000000"/>
          <w:sz w:val="22"/>
          <w:szCs w:val="22"/>
        </w:rPr>
        <w:t xml:space="preserve">,323-333.</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Santos M &amp; Naves P (2019)Biological traits of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(Coleoptera: Chrysomelidae: Alticinae), a new potato pest in Europe, and implications for pest management.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379-387. </w:t>
      </w:r>
      <w:hyperlink r:id="rId72236a95f56e3fa89" w:history="1">
        <w:r>
          <w:rPr>
            <w:rFonts w:ascii="Calibri" w:hAnsi="Calibri" w:eastAsia="Calibri" w:cs="Calibri"/>
            <w:color w:val="0000CC"/>
            <w:sz w:val="22"/>
            <w:szCs w:val="22"/>
            <w:u w:val="single"/>
          </w:rPr>
          <w:t xml:space="preserve">https://doi.org/10.1111/afe.12344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96206a95f56e3fb7e" w:history="1">
        <w:r>
          <w:rPr>
            <w:rFonts w:ascii="Calibri" w:hAnsi="Calibri" w:eastAsia="Calibri" w:cs="Calibri"/>
            <w:color w:val="0000CC"/>
            <w:sz w:val="22"/>
            <w:szCs w:val="22"/>
            <w:u w:val="single"/>
          </w:rPr>
          <w:t xml:space="preserve">http://dx.doi.org/10.11646/zootaxa.4268.4.4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w:t>
      </w:r>
      <w:r>
        <w:rPr>
          <w:rFonts w:ascii="Calibri" w:hAnsi="Calibri" w:eastAsia="Calibri" w:cs="Calibri"/>
          <w:color w:val="000000"/>
          <w:sz w:val="22"/>
          <w:szCs w:val="22"/>
        </w:rPr>
        <w:t xml:space="preserve">Bechyné</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DGAV (2018)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w:t>
      </w:r>
      <w:r>
        <w:rPr>
          <w:rFonts w:ascii="Calibri" w:hAnsi="Calibri" w:eastAsia="Calibri" w:cs="Calibri"/>
          <w:i/>
          <w:iCs/>
          <w:color w:val="000000"/>
          <w:sz w:val="22"/>
          <w:szCs w:val="22"/>
        </w:rPr>
        <w:t xml:space="preserve"> Epitrix cucumeris</w:t>
      </w:r>
      <w:r>
        <w:rPr>
          <w:rFonts w:ascii="Calibri" w:hAnsi="Calibri" w:eastAsia="Calibri" w:cs="Calibri"/>
          <w:color w:val="000000"/>
          <w:sz w:val="22"/>
          <w:szCs w:val="22"/>
        </w:rPr>
        <w:t xml:space="preserve"> na cultura da batateira. Technical Extension Leaflet, 2nd ed. Direção Geral de Agricultura e Veterinária, 2pp. [WWW document] URL: </w:t>
      </w:r>
      <w:hyperlink r:id="rId66906a95f56e3fd22"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DGAV (2019) 13ª atualização das zonas demarcadas para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(Ofício circular nº29/2019) Direção Geral de Agricultura e Veterinária. [WWW document] URL: </w:t>
      </w:r>
      <w:hyperlink r:id="rId70366a95f56e3fd7d"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Internationaler Entomologischer Verein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Faune de France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(2009) Présence en Europe de deux espèces nord-américaines d'</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(Coleoptera Chrysomelidae Alticinae. </w:t>
      </w:r>
      <w:r>
        <w:rPr>
          <w:rFonts w:ascii="Calibri" w:hAnsi="Calibri" w:eastAsia="Calibri" w:cs="Calibri"/>
          <w:i/>
          <w:iCs/>
          <w:color w:val="000000"/>
          <w:sz w:val="22"/>
          <w:szCs w:val="22"/>
        </w:rPr>
        <w:t xml:space="preserve">L’Entomologiste</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89–90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43276a95f56e40632" w:history="1">
        <w:r>
          <w:rPr>
            <w:rFonts w:ascii="Calibri" w:hAnsi="Calibri" w:eastAsia="Calibri" w:cs="Calibri"/>
            <w:color w:val="0000CC"/>
            <w:sz w:val="22"/>
            <w:szCs w:val="22"/>
            <w:u w:val="single"/>
          </w:rPr>
          <w:t xml:space="preserve">https://doi.org/10.2903/sp.efsa.2019.EN-1571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80256a95f56e40693"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Updated situation of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in Spain. </w:t>
      </w:r>
      <w:hyperlink r:id="rId72166a95f56e4073f" w:history="1">
        <w:r>
          <w:rPr>
            <w:rFonts w:ascii="Calibri" w:hAnsi="Calibri" w:eastAsia="Calibri" w:cs="Calibri"/>
            <w:color w:val="0000CC"/>
            <w:sz w:val="22"/>
            <w:szCs w:val="22"/>
            <w:u w:val="single"/>
          </w:rPr>
          <w:t xml:space="preserve">EPPO Reporting Service (2014/068)</w:t>
        </w:r>
      </w:hyperlink>
      <w:r>
        <w:rPr>
          <w:rFonts w:ascii="Calibri" w:hAnsi="Calibri" w:eastAsia="Calibri" w:cs="Calibri"/>
          <w:color w:val="000000"/>
          <w:sz w:val="22"/>
          <w:szCs w:val="22"/>
        </w:rPr>
        <w:t xml:space="preserve"> </w:t>
      </w:r>
      <w:hyperlink r:id="rId48436a95f56e40760" w:history="1">
        <w:r>
          <w:rPr>
            <w:rFonts w:ascii="Calibri" w:hAnsi="Calibri" w:eastAsia="Calibri" w:cs="Calibri"/>
            <w:color w:val="0000CC"/>
            <w:sz w:val="22"/>
            <w:szCs w:val="22"/>
            <w:u w:val="single"/>
          </w:rPr>
          <w:t xml:space="preserve">https://gd.eppo.int/reporting/article-2788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38686a95f56e40801" w:history="1">
        <w:r>
          <w:rPr>
            <w:rFonts w:ascii="Calibri" w:hAnsi="Calibri" w:eastAsia="Calibri" w:cs="Calibri"/>
            <w:color w:val="0000CC"/>
            <w:sz w:val="22"/>
            <w:szCs w:val="22"/>
            <w:u w:val="single"/>
          </w:rPr>
          <w:t xml:space="preserve">https://doi.org/10.1111/epp.12349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39446a95f56e40893" w:history="1">
        <w:r>
          <w:rPr>
            <w:rFonts w:ascii="Calibri" w:hAnsi="Calibri" w:eastAsia="Calibri" w:cs="Calibri"/>
            <w:color w:val="0000CC"/>
            <w:sz w:val="22"/>
            <w:szCs w:val="22"/>
            <w:u w:val="single"/>
          </w:rPr>
          <w:t xml:space="preserve">https://doi.org/10.1111/epp.12362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70096a95f56e40907" w:history="1">
        <w:r>
          <w:rPr>
            <w:rFonts w:ascii="Calibri" w:hAnsi="Calibri" w:eastAsia="Calibri" w:cs="Calibri"/>
            <w:color w:val="0000CC"/>
            <w:sz w:val="22"/>
            <w:szCs w:val="22"/>
            <w:u w:val="single"/>
          </w:rPr>
          <w:t xml:space="preserve">https://doi.org/10.1111/epp.12418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New data on quarantine pests and pests of the EPPO Alert List. Detailed Records. </w:t>
      </w:r>
      <w:hyperlink r:id="rId56216a95f56e40939" w:history="1">
        <w:r>
          <w:rPr>
            <w:rFonts w:ascii="Calibri" w:hAnsi="Calibri" w:eastAsia="Calibri" w:cs="Calibri"/>
            <w:color w:val="0000CC"/>
            <w:sz w:val="22"/>
            <w:szCs w:val="22"/>
            <w:u w:val="single"/>
          </w:rPr>
          <w:t xml:space="preserve">EPPO Reporting Service (2018/024)</w:t>
        </w:r>
      </w:hyperlink>
      <w:r>
        <w:rPr>
          <w:rFonts w:ascii="Calibri" w:hAnsi="Calibri" w:eastAsia="Calibri" w:cs="Calibri"/>
          <w:color w:val="000000"/>
          <w:sz w:val="22"/>
          <w:szCs w:val="22"/>
        </w:rPr>
        <w:t xml:space="preserve"> </w:t>
      </w:r>
      <w:hyperlink r:id="rId66346a95f56e40958" w:history="1">
        <w:r>
          <w:rPr>
            <w:rFonts w:ascii="Calibri" w:hAnsi="Calibri" w:eastAsia="Calibri" w:cs="Calibri"/>
            <w:color w:val="0000CC"/>
            <w:sz w:val="22"/>
            <w:szCs w:val="22"/>
            <w:u w:val="single"/>
          </w:rPr>
          <w:t xml:space="preserve">https://gd.eppo.int/media/data/reporting/rs-2018-02-en.pdf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47176a95f56e409c9" w:history="1">
        <w:r>
          <w:rPr>
            <w:rFonts w:ascii="Calibri" w:hAnsi="Calibri" w:eastAsia="Calibri" w:cs="Calibri"/>
            <w:color w:val="0000CC"/>
            <w:sz w:val="22"/>
            <w:szCs w:val="22"/>
            <w:u w:val="single"/>
          </w:rPr>
          <w:t xml:space="preserve">https://doi.org/10.1111/epp.12617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w:t>
      </w:r>
      <w:r>
        <w:rPr>
          <w:rFonts w:ascii="Calibri" w:hAnsi="Calibri" w:eastAsia="Calibri" w:cs="Calibri"/>
          <w:i/>
          <w:iCs/>
          <w:color w:val="000000"/>
          <w:sz w:val="22"/>
          <w:szCs w:val="22"/>
        </w:rPr>
        <w:t xml:space="preserve">Official Journal of the European Communities.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Decision 2012/270/EU of 16 May 2012 as regards emergency measures to prevent the introduction into and the spread within the Union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Epitrix papa sp. 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(notified under document C(2012) 3137). </w:t>
      </w:r>
      <w:r>
        <w:rPr>
          <w:rFonts w:ascii="Calibri" w:hAnsi="Calibri" w:eastAsia="Calibri" w:cs="Calibri"/>
          <w:i/>
          <w:iCs/>
          <w:color w:val="000000"/>
          <w:sz w:val="22"/>
          <w:szCs w:val="22"/>
        </w:rPr>
        <w:t xml:space="preserve">Official Journal of the European Communities.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L132/18</w:t>
      </w:r>
      <w:r>
        <w:rPr>
          <w:rFonts w:ascii="Calibri" w:hAnsi="Calibri" w:eastAsia="Calibri" w:cs="Calibri"/>
          <w:color w:val="000000"/>
          <w:sz w:val="22"/>
          <w:szCs w:val="22"/>
        </w:rPr>
        <w:t xml:space="preserve">. Lastly amended in 2018.</w:t>
      </w:r>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(Harris) (Coleoptera: Chrysomelidae).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32836a95f56e40cfb" w:history="1">
        <w:r>
          <w:rPr>
            <w:rFonts w:ascii="Calibri" w:hAnsi="Calibri" w:eastAsia="Calibri" w:cs="Calibri"/>
            <w:color w:val="0000CC"/>
            <w:sz w:val="22"/>
            <w:szCs w:val="22"/>
            <w:u w:val="single"/>
          </w:rPr>
          <w:t xml:space="preserve">https://doi.org/10.1017/S000748531200079X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 </w:t>
      </w:r>
      <w:r>
        <w:rPr>
          <w:rFonts w:ascii="Calibri" w:hAnsi="Calibri" w:eastAsia="Calibri" w:cs="Calibri"/>
          <w:i/>
          <w:iCs/>
          <w:color w:val="000000"/>
          <w:sz w:val="22"/>
          <w:szCs w:val="22"/>
        </w:rPr>
        <w:t xml:space="preserve">Entomology Section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20 p. </w:t>
      </w:r>
      <w:hyperlink r:id="rId73006a95f56e40e10" w:history="1">
        <w:r>
          <w:rPr>
            <w:rFonts w:ascii="Calibri" w:hAnsi="Calibri" w:eastAsia="Calibri" w:cs="Calibri"/>
            <w:color w:val="0000CC"/>
            <w:sz w:val="22"/>
            <w:szCs w:val="22"/>
            <w:u w:val="single"/>
          </w:rPr>
          <w:t xml:space="preserve">https://mountainscholar.org/bitstream/handle/10217/5111/COAB_21767862.pdf?sequence=1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MAPAMA (2017)Programa Nacional para la aplicación de la Normativa Fitosanitaria - Plan de Contingencia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(sp.n),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y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Ministerio de Agricultura y Pesca, Alimentación y Medio Ambiente, Espanha, 80p </w:t>
      </w:r>
      <w:hyperlink r:id="rId44476a95f56e40ec8" w:history="1">
        <w:r>
          <w:rPr>
            <w:rFonts w:ascii="Calibri" w:hAnsi="Calibri" w:eastAsia="Calibri" w:cs="Calibri"/>
            <w:color w:val="0000CC"/>
            <w:sz w:val="22"/>
            <w:szCs w:val="22"/>
            <w:u w:val="single"/>
          </w:rPr>
          <w:t xml:space="preserve">https://www.mapa.gob.es/es/agricultura/temas/sanidad-vegetal/epitrix-plandecontingenciaabril2017_tcm30-381572.pdf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MAPAMA (2019) Programa Nacional para la aplicación de la Normativa Fitosanitaria - Manual de Procedimiento para la aplicación de la Normativa Fitosanitaria de la patata. Ministerio de Agricultura y Pesca, Alimentación y Medio Ambiente, Espanha, 759p. </w:t>
      </w:r>
      <w:hyperlink r:id="rId52386a95f56e40efe" w:history="1">
        <w:r>
          <w:rPr>
            <w:rFonts w:ascii="Calibri" w:hAnsi="Calibri" w:eastAsia="Calibri" w:cs="Calibri"/>
            <w:color w:val="0000CC"/>
            <w:sz w:val="22"/>
            <w:szCs w:val="22"/>
            <w:u w:val="single"/>
          </w:rPr>
          <w:t xml:space="preserve">https://preservicio.mapama.gob.es/es/agricultura/temas/sanidadvegetal/manualpatata2019_tcm30-135971.pdf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79906a95f56e40fb5"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6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(2019)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33066a95f56e410a4"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Oliveira R, Chatot C &amp; Dedryver C-A (2008) A new flea beetle detected in Europe. </w:t>
      </w:r>
      <w:r>
        <w:rPr>
          <w:rFonts w:ascii="Calibri" w:hAnsi="Calibri" w:eastAsia="Calibri" w:cs="Calibri"/>
          <w:i/>
          <w:iCs/>
          <w:color w:val="000000"/>
          <w:sz w:val="22"/>
          <w:szCs w:val="22"/>
        </w:rPr>
        <w:t xml:space="preserve">Potato Planet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30–34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 (2015)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sp. n. (Coleoptera: Chrysomelidae: Galerucinae: Alticini), previously misidentified as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is a threat to potato production in Europe.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824–830.</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R &amp; Herk W (2017) Wireworm and flea beetle IPM in potatoes in Canada: implications for managing emergent problems in Europe.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269-285. </w:t>
      </w:r>
      <w:hyperlink r:id="rId66086a95f56e41307" w:history="1">
        <w:r>
          <w:rPr>
            <w:rFonts w:ascii="Calibri" w:hAnsi="Calibri" w:eastAsia="Calibri" w:cs="Calibri"/>
            <w:color w:val="0000CC"/>
            <w:sz w:val="22"/>
            <w:szCs w:val="22"/>
            <w:u w:val="single"/>
          </w:rPr>
          <w:t xml:space="preserve">https://doi.org/10.1007/s11540-018-9355-6</w:t>
        </w:r>
      </w:hyperlink>
      <w:r>
        <w:rPr>
          <w:rFonts w:ascii="Calibri" w:hAnsi="Calibri" w:eastAsia="Calibri" w:cs="Calibri"/>
          <w:color w:val="000000"/>
          <w:sz w:val="22"/>
          <w:szCs w:val="22"/>
        </w:rPr>
        <w:t xml:space="preserve"> [accessed on 16 August 2018]</w:t>
      </w:r>
    </w:p>
    <w:p>
      <w:pPr>
        <w:widowControl w:val="on"/>
        <w:pBdr/>
        <w:spacing w:before="220" w:after="220" w:line="240" w:lineRule="auto"/>
        <w:ind w:left="0" w:right="0"/>
        <w:jc w:val="left"/>
      </w:pPr>
      <w:r>
        <w:rPr>
          <w:rFonts w:ascii="Calibri" w:hAnsi="Calibri" w:eastAsia="Calibri" w:cs="Calibri"/>
          <w:color w:val="000000"/>
          <w:sz w:val="22"/>
          <w:szCs w:val="22"/>
        </w:rPr>
        <w:t xml:space="preserve">VKM (2019) Johan A. Stenberg, Daniel Flø, Lawrence Kirkendall, Paal Krokene, Beatrix Alsanius, Christer Magnusson, Mogens Nicolaisen, Iben M. Thomsen, Sandra A.I. Wright, Trond Rafoss. Pest risk assessment of selected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Scientific Opinion of the Panel on Plant Health. VKM report 2019:17, ISBN: 978-82-8259-333-5, ISSN: 2535-4019. Norwegian Scientific Committee for Food and Environment (VKM), Oslo, Norway.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Conceição Boavida (Instituto Nacional de Investigação Agrária e Veterinária, I.P.,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EPPO datasheets on pests recommended for regulation. Available online. </w:t>
      </w:r>
      <w:hyperlink r:id="rId61166a95f56e4141a"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18547786" name="name86996a95f56e4147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576a95f56e4146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452776">
    <w:multiLevelType w:val="hybridMultilevel"/>
    <w:lvl w:ilvl="0" w:tplc="76019209">
      <w:start w:val="1"/>
      <w:numFmt w:val="decimal"/>
      <w:lvlText w:val="%1."/>
      <w:lvlJc w:val="left"/>
      <w:pPr>
        <w:ind w:left="720" w:hanging="360"/>
      </w:pPr>
    </w:lvl>
    <w:lvl w:ilvl="1" w:tplc="76019209" w:tentative="1">
      <w:start w:val="1"/>
      <w:numFmt w:val="lowerLetter"/>
      <w:lvlText w:val="%2."/>
      <w:lvlJc w:val="left"/>
      <w:pPr>
        <w:ind w:left="1440" w:hanging="360"/>
      </w:pPr>
    </w:lvl>
    <w:lvl w:ilvl="2" w:tplc="76019209" w:tentative="1">
      <w:start w:val="1"/>
      <w:numFmt w:val="lowerRoman"/>
      <w:lvlText w:val="%3."/>
      <w:lvlJc w:val="right"/>
      <w:pPr>
        <w:ind w:left="2160" w:hanging="180"/>
      </w:pPr>
    </w:lvl>
    <w:lvl w:ilvl="3" w:tplc="76019209" w:tentative="1">
      <w:start w:val="1"/>
      <w:numFmt w:val="decimal"/>
      <w:lvlText w:val="%4."/>
      <w:lvlJc w:val="left"/>
      <w:pPr>
        <w:ind w:left="2880" w:hanging="360"/>
      </w:pPr>
    </w:lvl>
    <w:lvl w:ilvl="4" w:tplc="76019209" w:tentative="1">
      <w:start w:val="1"/>
      <w:numFmt w:val="lowerLetter"/>
      <w:lvlText w:val="%5."/>
      <w:lvlJc w:val="left"/>
      <w:pPr>
        <w:ind w:left="3600" w:hanging="360"/>
      </w:pPr>
    </w:lvl>
    <w:lvl w:ilvl="5" w:tplc="76019209" w:tentative="1">
      <w:start w:val="1"/>
      <w:numFmt w:val="lowerRoman"/>
      <w:lvlText w:val="%6."/>
      <w:lvlJc w:val="right"/>
      <w:pPr>
        <w:ind w:left="4320" w:hanging="180"/>
      </w:pPr>
    </w:lvl>
    <w:lvl w:ilvl="6" w:tplc="76019209" w:tentative="1">
      <w:start w:val="1"/>
      <w:numFmt w:val="decimal"/>
      <w:lvlText w:val="%7."/>
      <w:lvlJc w:val="left"/>
      <w:pPr>
        <w:ind w:left="5040" w:hanging="360"/>
      </w:pPr>
    </w:lvl>
    <w:lvl w:ilvl="7" w:tplc="76019209" w:tentative="1">
      <w:start w:val="1"/>
      <w:numFmt w:val="lowerLetter"/>
      <w:lvlText w:val="%8."/>
      <w:lvlJc w:val="left"/>
      <w:pPr>
        <w:ind w:left="5760" w:hanging="360"/>
      </w:pPr>
    </w:lvl>
    <w:lvl w:ilvl="8" w:tplc="76019209" w:tentative="1">
      <w:start w:val="1"/>
      <w:numFmt w:val="lowerRoman"/>
      <w:lvlText w:val="%9."/>
      <w:lvlJc w:val="right"/>
      <w:pPr>
        <w:ind w:left="6480" w:hanging="180"/>
      </w:pPr>
    </w:lvl>
  </w:abstractNum>
  <w:abstractNum w:abstractNumId="33452775">
    <w:multiLevelType w:val="hybridMultilevel"/>
    <w:lvl w:ilvl="0" w:tplc="768071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452775">
    <w:abstractNumId w:val="33452775"/>
  </w:num>
  <w:num w:numId="33452776">
    <w:abstractNumId w:val="334527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7985266" Type="http://schemas.microsoft.com/office/2011/relationships/commentsExtended" Target="commentsExtended.xml"/><Relationship Id="rId264762022" Type="http://schemas.microsoft.com/office/2011/relationships/people" Target="people.xml"/><Relationship Id="rId99896a95f56e3c95f" Type="http://schemas.openxmlformats.org/officeDocument/2006/relationships/hyperlink" Target="https://gd.eppo.int/taxon/EPIXPP/" TargetMode="External"/><Relationship Id="rId81556a95f56e3c9c8" Type="http://schemas.openxmlformats.org/officeDocument/2006/relationships/hyperlink" Target="https://gd.eppo.int/taxon/EPIXPP/categorization" TargetMode="External"/><Relationship Id="rId13216a95f56e3d1e5" Type="http://schemas.openxmlformats.org/officeDocument/2006/relationships/hyperlink" Target="https://gd.eppo.int/taxon/EPIXPP/photos" TargetMode="External"/><Relationship Id="rId72236a95f56e3fa89" Type="http://schemas.openxmlformats.org/officeDocument/2006/relationships/hyperlink" Target="https://doi.org/10.1111/afe.12344" TargetMode="External"/><Relationship Id="rId96206a95f56e3fb7e" Type="http://schemas.openxmlformats.org/officeDocument/2006/relationships/hyperlink" Target="http://dx.doi.org/10.11646/zootaxa.4268.4.4" TargetMode="External"/><Relationship Id="rId66906a95f56e3fd22" Type="http://schemas.openxmlformats.org/officeDocument/2006/relationships/hyperlink" Target="http://www.dgv.min-agricultura.pt/portal/page/portal/DGV/genericos?generico=23333144&amp;cboui=23333144" TargetMode="External"/><Relationship Id="rId70366a95f56e3fd7d" Type="http://schemas.openxmlformats.org/officeDocument/2006/relationships/hyperlink" Target="http://www.dgv.min-agricultura.pt/portal/page/portal/DGV/genericos?generico=23333144&amp;cboui=23333144" TargetMode="External"/><Relationship Id="rId43276a95f56e40632" Type="http://schemas.openxmlformats.org/officeDocument/2006/relationships/hyperlink" Target="https://doi.org/10.2903/sp.efsa.2019.EN-1571" TargetMode="External"/><Relationship Id="rId80256a95f56e40693" Type="http://schemas.openxmlformats.org/officeDocument/2006/relationships/hyperlink" Target="http://www.eppo.int/QUARANTINE/Pest_Risk_Analysis/PRA_intro.htm" TargetMode="External"/><Relationship Id="rId72166a95f56e4073f" Type="http://schemas.openxmlformats.org/officeDocument/2006/relationships/hyperlink" Target="https://gd.eppo.int/reporting/article-2788" TargetMode="External"/><Relationship Id="rId48436a95f56e40760" Type="http://schemas.openxmlformats.org/officeDocument/2006/relationships/hyperlink" Target="https://gd.eppo.int/reporting/article-2788" TargetMode="External"/><Relationship Id="rId38686a95f56e40801" Type="http://schemas.openxmlformats.org/officeDocument/2006/relationships/hyperlink" Target="https://doi.org/10.1111/epp.12349" TargetMode="External"/><Relationship Id="rId39446a95f56e40893" Type="http://schemas.openxmlformats.org/officeDocument/2006/relationships/hyperlink" Target="https://doi.org/10.1111/epp.12362" TargetMode="External"/><Relationship Id="rId70096a95f56e40907" Type="http://schemas.openxmlformats.org/officeDocument/2006/relationships/hyperlink" Target="https://doi.org/10.1111/epp.12418" TargetMode="External"/><Relationship Id="rId56216a95f56e40939" Type="http://schemas.openxmlformats.org/officeDocument/2006/relationships/hyperlink" Target="https://gd.eppo.int/reporting/article-6218" TargetMode="External"/><Relationship Id="rId66346a95f56e40958" Type="http://schemas.openxmlformats.org/officeDocument/2006/relationships/hyperlink" Target="https://gd.eppo.int/media/data/reporting/rs-2018-02-en.pdf" TargetMode="External"/><Relationship Id="rId47176a95f56e409c9" Type="http://schemas.openxmlformats.org/officeDocument/2006/relationships/hyperlink" Target="https://doi.org/10.1111/epp.12617" TargetMode="External"/><Relationship Id="rId32836a95f56e40cfb" Type="http://schemas.openxmlformats.org/officeDocument/2006/relationships/hyperlink" Target="https://doi.org/10.1017/S000748531200079X" TargetMode="External"/><Relationship Id="rId73006a95f56e40e10" Type="http://schemas.openxmlformats.org/officeDocument/2006/relationships/hyperlink" Target="https://mountainscholar.org/bitstream/handle/10217/5111/COAB_21767862.pdf?sequence=1" TargetMode="External"/><Relationship Id="rId44476a95f56e40ec8" Type="http://schemas.openxmlformats.org/officeDocument/2006/relationships/hyperlink" Target="https://www.mapa.gob.es/es/agricultura/temas/sanidad-vegetal/epitrix-plandecontingenciaabril2017_tcm30-381572.pdf" TargetMode="External"/><Relationship Id="rId52386a95f56e40efe" Type="http://schemas.openxmlformats.org/officeDocument/2006/relationships/hyperlink" Target="https://preservicio.mapama.gob.es/es/agricultura/temas/sanidadvegetal/manualpatata2019_tcm30-135971.pdf" TargetMode="External"/><Relationship Id="rId79906a95f56e40fb5" Type="http://schemas.openxmlformats.org/officeDocument/2006/relationships/hyperlink" Target="https://link.springer.com/content/pdf/10.1007%2FBF02862912.pdf" TargetMode="External"/><Relationship Id="rId33066a95f56e410a4" Type="http://schemas.openxmlformats.org/officeDocument/2006/relationships/hyperlink" Target="http://dx.doi.org/10.1017/S0007485316000559" TargetMode="External"/><Relationship Id="rId66086a95f56e41307" Type="http://schemas.openxmlformats.org/officeDocument/2006/relationships/hyperlink" Target="https://doi.org/10.1007/s11540-018-9355-6" TargetMode="External"/><Relationship Id="rId61166a95f56e4141a" Type="http://schemas.openxmlformats.org/officeDocument/2006/relationships/hyperlink" Target="https://gd.eppo.int" TargetMode="External"/><Relationship Id="rId92156a95f56e3d0f4" Type="http://schemas.openxmlformats.org/officeDocument/2006/relationships/image" Target="media/imgrId92156a95f56e3d0f4.jpg"/><Relationship Id="rId83066a95f56e3e4e2" Type="http://schemas.openxmlformats.org/officeDocument/2006/relationships/image" Target="media/imgrId83066a95f56e3e4e2.jpg"/><Relationship Id="rId56576a95f56e4146f" Type="http://schemas.openxmlformats.org/officeDocument/2006/relationships/image" Target="media/imgrId56576a95f56e4146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