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Eotetranychus lewisi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Eotetranychus lewisi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(McGregor)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Tetranychidae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Tetranychus lewisi</w:t>
            </w:r>
            <w:r>
              <w:rPr>
                <w:rFonts w:ascii="Calibri" w:hAnsi="Calibri" w:eastAsia="Calibri" w:cs="Calibri"/>
                <w:color w:val="000000"/>
                <w:position w:val="-3"/>
                <w:sz w:val="22"/>
                <w:szCs w:val="22"/>
              </w:rPr>
              <w:t xml:space="preserve"> McGregor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Lewis spider mite</w:t>
            </w:r>
            <w:hyperlink r:id="rId884169f65c281338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52769f65c28133c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EOTELE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244510" name="name119869f65c28137f4" descr="11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92.jpg"/>
                          <pic:cNvPicPr/>
                        </pic:nvPicPr>
                        <pic:blipFill>
                          <a:blip r:embed="rId745369f65c28137f2" cstate="print"/>
                          <a:stretch>
                            <a:fillRect/>
                          </a:stretch>
                        </pic:blipFill>
                        <pic:spPr>
                          <a:xfrm>
                            <a:off x="0" y="0"/>
                            <a:ext cx="2160000" cy="1281600"/>
                          </a:xfrm>
                          <a:prstGeom prst="rect">
                            <a:avLst/>
                          </a:prstGeom>
                          <a:ln w="0">
                            <a:noFill/>
                          </a:ln>
                        </pic:spPr>
                      </pic:pic>
                    </a:graphicData>
                  </a:graphic>
                </wp:inline>
              </w:drawing>
            </w:r>
            <w:hyperlink r:id="rId685169f65c2813a2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close and confusing similarity between the genus names </w:t>
      </w:r>
      <w:r>
        <w:rPr>
          <w:rFonts w:ascii="Calibri" w:hAnsi="Calibri" w:eastAsia="Calibri" w:cs="Calibri"/>
          <w:i/>
          <w:iCs/>
          <w:color w:val="000000"/>
          <w:sz w:val="22"/>
          <w:szCs w:val="22"/>
        </w:rPr>
        <w:t xml:space="preserve">Eotetranychus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Eutetranychus</w:t>
      </w:r>
      <w:r>
        <w:rPr>
          <w:rFonts w:ascii="Calibri" w:hAnsi="Calibri" w:eastAsia="Calibri" w:cs="Calibri"/>
          <w:color w:val="000000"/>
          <w:sz w:val="22"/>
          <w:szCs w:val="22"/>
        </w:rPr>
        <w:t xml:space="preserve"> causes problems in the literature. Another mite species with same specific epithet and same author, </w:t>
      </w:r>
      <w:r>
        <w:rPr>
          <w:rFonts w:ascii="Calibri" w:hAnsi="Calibri" w:eastAsia="Calibri" w:cs="Calibri"/>
          <w:i/>
          <w:iCs/>
          <w:color w:val="000000"/>
          <w:sz w:val="22"/>
          <w:szCs w:val="22"/>
        </w:rPr>
        <w:t xml:space="preserve">Brevipalpus lewisi</w:t>
      </w:r>
      <w:r>
        <w:rPr>
          <w:rFonts w:ascii="Calibri" w:hAnsi="Calibri" w:eastAsia="Calibri" w:cs="Calibri"/>
          <w:color w:val="000000"/>
          <w:sz w:val="22"/>
          <w:szCs w:val="22"/>
        </w:rPr>
        <w:t xml:space="preserve"> McGregor 1949 (Tenuipalpidae) also occurs as a pest on citrus and other trees and can also be a source of confusion.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USA), papaya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(in Mexico, El Salvador, Honduras, Nicaragua and West Indies), peach (in Bolivia, Mexico and USA – Arizona), strawberry (in USA – California and Philippines), vines (in Chile and Madeira) and poinsettia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(in USA – California, Florida, Costa Rica, El Salvador, South Africa, and Madeira and under greenhouses in USA – California, Oregon, Washington, Illinois, Michigan, Massachusetts, Maryland, Canada – Ontario, Japan – Honshu) are perhaps the most important hosts but the pest has also been recorded from the following: Euphorbiaceae: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Croton</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Poinsettia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Leguminosae: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Bauhinia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spp.; Rosaceae: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Solanaceae: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Salicaceae: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Sapindaceae: </w:t>
      </w:r>
      <w:r>
        <w:rPr>
          <w:rFonts w:ascii="Calibri" w:hAnsi="Calibri" w:eastAsia="Calibri" w:cs="Calibri"/>
          <w:i/>
          <w:iCs/>
          <w:color w:val="000000"/>
          <w:sz w:val="22"/>
          <w:szCs w:val="22"/>
        </w:rPr>
        <w:t xml:space="preserve">Cardiospermum</w:t>
      </w:r>
      <w:r>
        <w:rPr>
          <w:rFonts w:ascii="Calibri" w:hAnsi="Calibri" w:eastAsia="Calibri" w:cs="Calibri"/>
          <w:color w:val="000000"/>
          <w:sz w:val="22"/>
          <w:szCs w:val="22"/>
        </w:rPr>
        <w:t xml:space="preserve"> spp.; Pinaceae: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malacum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pennatula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Antigonon leptopus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Argythamnia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Bixa orellana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Bocconia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Brickellia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Cardiospermum corindum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Cnidoscolus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ciliatoglandulifer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glabellus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sonorae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Encelia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 var. cyathophora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Haplopappus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Isocoma pluriflora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cardiophylla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aculeaticarpa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nelsonii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glaucus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Schoenoplectus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orcuttii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constricta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Xanthisma spinulosum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Country of origin not known, possibly Central America where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occurs on native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spp. In the Northern half of USA, Canada and Japan it was only recorded under greenhouses.</w:t>
      </w:r>
    </w:p>
    <w:p>
      <w:r>
        <w:drawing>
          <wp:inline distT="0" distB="0" distL="0" distR="0">
            <wp:extent cx="6120000" cy="3067200"/>
            <wp:docPr id="35493645" name="name432269f65c28155ab" descr="EOTE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OTELE_distribution_map.jpg"/>
                    <pic:cNvPicPr/>
                  </pic:nvPicPr>
                  <pic:blipFill>
                    <a:blip r:embed="rId945869f65c28155a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Libya,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Japan (Honshu),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Mexico, United States of America (Arizona, California, Florida, Hawaii, Illinois, Maryland, Massachusetts, Michigan, Oregon,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 Guadeloupe,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On most plants,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feeds on the underside of the leaves, preferring the regions close to the main leaf veins but eventually the population occupies the whole of the underside of the leaf. On citrus, the eggs are laid in depressions on the surface of the fruit and the mites feed on the developing fruit and do not usually damage the leaves. On poinsettia, the mean generation time ranges from 19.8 days at 20 °C to 13.2 days at 28 °C. The thermal summation for egg to adult development is 159 degree-days with a temperature threshold of 8.3 °C. The optimal </w:t>
      </w:r>
      <w:r>
        <w:rPr>
          <w:rFonts w:ascii="Calibri" w:hAnsi="Calibri" w:eastAsia="Calibri" w:cs="Calibri"/>
          <w:i/>
          <w:iCs/>
          <w:color w:val="000000"/>
          <w:sz w:val="22"/>
          <w:szCs w:val="22"/>
        </w:rPr>
        <w:t xml:space="preserve">R</w:t>
      </w:r>
      <w:r>
        <w:rPr>
          <w:rFonts w:ascii="Calibri" w:hAnsi="Calibri" w:eastAsia="Calibri" w:cs="Calibri"/>
          <w:i/>
          <w:iCs/>
          <w:color w:val="000000"/>
          <w:position w:val="-4"/>
          <w:sz w:val="22"/>
          <w:szCs w:val="22"/>
          <w:vertAlign w:val="subscript"/>
          <w:vertAlign w:val="subscript"/>
        </w:rPr>
        <w:t xml:space="preserve">0</w:t>
      </w:r>
      <w:r>
        <w:rPr>
          <w:rFonts w:ascii="Calibri" w:hAnsi="Calibri" w:eastAsia="Calibri" w:cs="Calibri"/>
          <w:color w:val="000000"/>
          <w:sz w:val="22"/>
          <w:szCs w:val="22"/>
        </w:rPr>
        <w:t xml:space="preserve"> (number of offspring per female) is 17.7 at 24 °C and mortality increases rapidly over 28 °C (Lai and Lin, 2005). The life cycle from egg to adult ranges from 32.7 days at 15 °C to 10.6 days at 25 °C in experiments on strawberry (Kaur &amp; Zalom, 2017) and averages 12 days for the male and 14.5 days for the female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on citrus in California (USA) with temperatures ranging from 17 to 23 °C.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citrus, the mites feed mostly on the fruit resulting in a stippling of the rind, heavy infestations producing silvering on lemons and silvering or russeting on oranges. Although webbing may be profuse and conspicuous as it collects dust, there is generally no damage to the leaves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20" w:after="220" w:line="240" w:lineRule="auto"/>
        <w:ind w:left="0" w:right="0"/>
        <w:jc w:val="both"/>
      </w:pPr>
      <w:r>
        <w:rPr>
          <w:rFonts w:ascii="Calibri" w:hAnsi="Calibri" w:eastAsia="Calibri" w:cs="Calibri"/>
          <w:color w:val="000000"/>
          <w:sz w:val="22"/>
          <w:szCs w:val="22"/>
        </w:rPr>
        <w:t xml:space="preserve">On poinsettia, lightly infested leaves have a speckled or peppered appearance produced by the large number of clear yellow spots or yellowish patches of varying size with indefinite borders all over the leaf, while the undersides of leaves show conditions varying from areas of light-green colouration to obvious chlorosis. Sometimes there is an intense yellow speckling on both sides of the leaves. In severe attacks, the interveinal areas turn yellow and contrast strongly with the green veins. This condition can be mistaken for that caused by zinc or magnesium deficiency (Ochoa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Heavy infestation on the undersides of leaves produces profuse webbing, especially around the flower centres, and chlorotic leaves, eventually leading to extensive leaf drop (Doucette, 1962). Injury caused to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is similar to that caused to poinsettias (Doucette, 1962).</w:t>
      </w:r>
    </w:p>
    <w:p>
      <w:pPr>
        <w:widowControl w:val="on"/>
        <w:pBdr/>
        <w:spacing w:before="220" w:after="220" w:line="240" w:lineRule="auto"/>
        <w:ind w:left="0" w:right="0"/>
        <w:jc w:val="both"/>
      </w:pPr>
      <w:r>
        <w:rPr>
          <w:rFonts w:ascii="Calibri" w:hAnsi="Calibri" w:eastAsia="Calibri" w:cs="Calibri"/>
          <w:color w:val="000000"/>
          <w:sz w:val="22"/>
          <w:szCs w:val="22"/>
        </w:rPr>
        <w:t xml:space="preserve">On papaya, feeding causes chlorosis and distortion of the young leaves, resembling that caused by virus diseases. In severe infestations, the young leaves lose their laminas, while the leaf veins remain. This condition especially can lead to a mistaken diagnosis of a virus disease in commercial plantations. Damage to older leaves resembles that on poinsettias, which can be confused with that caused by hormonal herbicides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strawberry, symptoms are chlorosis and bronzing of the leaves where feeding occurs, light to high webbing and reduction in fruit production at high mite densities (Howell and Daugovish,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Spheroidal, whitish to faintly orange in colour, with a short spike arising from the top of the egg without ‘guy-line’ threads from the end of the spike to the plant (in contrast to that of the citrus red mite, </w:t>
      </w:r>
      <w:r>
        <w:rPr>
          <w:rFonts w:ascii="Calibri" w:hAnsi="Calibri" w:eastAsia="Calibri" w:cs="Calibri"/>
          <w:i/>
          <w:iCs/>
          <w:color w:val="000000"/>
          <w:sz w:val="22"/>
          <w:szCs w:val="22"/>
        </w:rPr>
        <w:t xml:space="preserve">Panonychus citri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description of the larval and nymphal stages.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body of the female is light-yellow to whitish in colour, the legs and gnathosoma are whitish with a slight reddish tone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Identification requires examination of cleared and mounted specimens of both sexes by transmitted light microscopy. Diagnostic descriptions and keys are provided by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and Smith-Meyer (1974, 1987). Body length ranges from 270 µm to 360 µm.</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provides recommendations on how to detect and identify the pest (EPPO Standard PM 7/68,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mites can be present on plant materials, especially potted plants (poinsettias) or cuttings (poinsettias) and plants for planting (strawberries, raspberries). They can also be present on citrus fruits. At low densities, spider mites are extremely difficult to detect. Inconspicuous (less than half a millimetre) they are invisible to the naked eye. Inspection should focus on small whitish, brownish or yellow spots (easily confused with other causes such as virus symptoms or superficial wounds). An examination of the undersides of the leaves under a stereo-microscope can then confirm (or not) the presence of spider mites, generally associated with white exuviae and webbing. High mite densities are easier to detect, with the same symptoms on a large scale and webbing on the underside of the leaves.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Spider mites are mainly dispersed by wind currents and in the field and this is probably the main means of dispersal for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In glasshouses workers constitute the main dispersal factor between plants. Long distance dispersion is primarily by transport of infested plant material.</w:t>
      </w:r>
    </w:p>
    <w:p>
      <w:pPr>
        <w:widowControl w:val="on"/>
        <w:pBdr/>
        <w:spacing w:before="220" w:after="220" w:line="240" w:lineRule="auto"/>
        <w:ind w:left="0" w:right="0"/>
        <w:jc w:val="both"/>
      </w:pPr>
      <w:r>
        <w:rPr>
          <w:rFonts w:ascii="Calibri" w:hAnsi="Calibri" w:eastAsia="Calibri" w:cs="Calibri"/>
          <w:color w:val="000000"/>
          <w:sz w:val="22"/>
          <w:szCs w:val="22"/>
        </w:rPr>
        <w:t xml:space="preserve">In glasshouses, infestation of poinsettias is thought to have been brought about by the introduction of infested cuttings from warmer areas and/or infested glasshouses. Importation of poinsettia from countries where the pest occurs remains the main pathway for introduction to the EU (EFSA, 2017) and this is probably the case for the rest of the EPPO region, especially around the Christmas period, when most poinsettias are sold.</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grapevine, strawberry, raspberry, and other hosts such as peach can also constitute a pathway. However, the import of many of these commodities is prohibited or strictly regulated in the EU and therefore the risk of introduction with these commodities was assessed as lower (EFSA, 2017). In EPPO countries where such restrictions may not exist, the importation of host plants for planting may be a pathway for introduction of the pest.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fruits (oranges and lemons) are not considered as a possible pathway as the pest is unlikely to survive post-harvest treatments and transfer to host plants after import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populations increase most rapidly on poinsettias,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(both Euphorbiaceae) under glasshouses. If not controlled, the resulting leaf discoloration and leaf drop devastate the sale value of the plants. Impact on sales of poinsettias and more generally Euphorbiaceae constitute the main economic losses due to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On citrus,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is considered to be of very minor importance (Doucette, 1962), occurring occasionally in Southern California (USA).</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strawberry,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emerged as a pest of economic importance in California ten years ago (Dara, 2011; Howell and Daugovish, 2013).</w:t>
      </w:r>
    </w:p>
    <w:p>
      <w:pPr>
        <w:widowControl w:val="on"/>
        <w:pBdr/>
        <w:spacing w:before="220" w:after="220" w:line="240" w:lineRule="auto"/>
        <w:ind w:left="0" w:right="0"/>
        <w:jc w:val="both"/>
      </w:pPr>
      <w:r>
        <w:rPr>
          <w:rFonts w:ascii="Calibri" w:hAnsi="Calibri" w:eastAsia="Calibri" w:cs="Calibri"/>
          <w:color w:val="000000"/>
          <w:sz w:val="22"/>
          <w:szCs w:val="22"/>
        </w:rPr>
        <w:t xml:space="preserve">A negative economic impact has been reported on papaya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in Central America and on peach (Pérez-Santiago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Mexico.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Acaricides used to control other spider mites effectively control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The most recent data (Dara, 2011) highlighted abamectin, acequinocyl, bifenazate and spiromesifen as effective in controlling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on poinsettia and the author recommended the use of approved acaricides on strawberries. Bethke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Gilrein (2006) recommended etoxazole, fenproximate, hexythiazox and also acequinocyl and bifenazate on poinsettia. Other active substances, that are no longer authorized in the EU have been used in the past: ethion, bifenthrin and propargite (Pérez-Santiago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parathion, demeton, dicofol and sulfotep (Doucette, 1962). </w:t>
      </w:r>
    </w:p>
    <w:p>
      <w:pPr>
        <w:widowControl w:val="on"/>
        <w:pBdr/>
        <w:spacing w:before="220" w:after="220" w:line="240" w:lineRule="auto"/>
        <w:ind w:left="0" w:right="0"/>
        <w:jc w:val="both"/>
      </w:pPr>
      <w:r>
        <w:rPr>
          <w:rFonts w:ascii="Calibri" w:hAnsi="Calibri" w:eastAsia="Calibri" w:cs="Calibri"/>
          <w:color w:val="000000"/>
          <w:sz w:val="22"/>
          <w:szCs w:val="22"/>
        </w:rPr>
        <w:t xml:space="preserve">On citrus, signs of infestation on fruits are removed during the harvesting process. Treatments used against other tetranychid mites will control injurious populations if they should occur.</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phytoseiid mite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was found associated with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during the outbreak in American greenhouses growing poinsettias in 1958. It was thought that this species had been at least partly responsible for keeping populations in check in later years (Doucette, 1962). More recently Ho (2007) found </w:t>
      </w:r>
      <w:r>
        <w:rPr>
          <w:rFonts w:ascii="Calibri" w:hAnsi="Calibri" w:eastAsia="Calibri" w:cs="Calibri"/>
          <w:i/>
          <w:iCs/>
          <w:color w:val="000000"/>
          <w:sz w:val="22"/>
          <w:szCs w:val="22"/>
        </w:rPr>
        <w:t xml:space="preserve">Amblyseius longispinosus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Phytoseius minutus</w:t>
      </w:r>
      <w:r>
        <w:rPr>
          <w:rFonts w:ascii="Calibri" w:hAnsi="Calibri" w:eastAsia="Calibri" w:cs="Calibri"/>
          <w:color w:val="000000"/>
          <w:sz w:val="22"/>
          <w:szCs w:val="22"/>
        </w:rPr>
        <w:t xml:space="preserve"> (Acari Phytoseiidae) but also some other natural enemies </w:t>
      </w:r>
      <w:r>
        <w:rPr>
          <w:rFonts w:ascii="Calibri" w:hAnsi="Calibri" w:eastAsia="Calibri" w:cs="Calibri"/>
          <w:i/>
          <w:iCs/>
          <w:color w:val="000000"/>
          <w:sz w:val="22"/>
          <w:szCs w:val="22"/>
        </w:rPr>
        <w:t xml:space="preserve">Scolothrips</w:t>
      </w:r>
      <w:r>
        <w:rPr>
          <w:rFonts w:ascii="Calibri" w:hAnsi="Calibri" w:eastAsia="Calibri" w:cs="Calibri"/>
          <w:color w:val="000000"/>
          <w:sz w:val="22"/>
          <w:szCs w:val="22"/>
        </w:rPr>
        <w:t xml:space="preserve"> sp., cecidomyiid larvae, </w:t>
      </w:r>
      <w:r>
        <w:rPr>
          <w:rFonts w:ascii="Calibri" w:hAnsi="Calibri" w:eastAsia="Calibri" w:cs="Calibri"/>
          <w:i/>
          <w:iCs/>
          <w:color w:val="000000"/>
          <w:sz w:val="22"/>
          <w:szCs w:val="22"/>
        </w:rPr>
        <w:t xml:space="preserve">Oligota</w:t>
      </w:r>
      <w:r>
        <w:rPr>
          <w:rFonts w:ascii="Calibri" w:hAnsi="Calibri" w:eastAsia="Calibri" w:cs="Calibri"/>
          <w:color w:val="000000"/>
          <w:sz w:val="22"/>
          <w:szCs w:val="22"/>
        </w:rPr>
        <w:t xml:space="preserve"> larvae, and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larvae feeding on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In laboratory experiments on strawberry plants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Neoseiulus fallacis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Amblyseius andersoni</w:t>
      </w:r>
      <w:r>
        <w:rPr>
          <w:rFonts w:ascii="Calibri" w:hAnsi="Calibri" w:eastAsia="Calibri" w:cs="Calibri"/>
          <w:color w:val="000000"/>
          <w:sz w:val="22"/>
          <w:szCs w:val="22"/>
        </w:rPr>
        <w:t xml:space="preserve"> were found preying on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It is not the case of </w:t>
      </w:r>
      <w:r>
        <w:rPr>
          <w:rFonts w:ascii="Calibri" w:hAnsi="Calibri" w:eastAsia="Calibri" w:cs="Calibri"/>
          <w:i/>
          <w:iCs/>
          <w:color w:val="000000"/>
          <w:sz w:val="22"/>
          <w:szCs w:val="22"/>
        </w:rPr>
        <w:t xml:space="preserve">Phytoseiulus persimilis</w:t>
      </w:r>
      <w:r>
        <w:rPr>
          <w:rFonts w:ascii="Calibri" w:hAnsi="Calibri" w:eastAsia="Calibri" w:cs="Calibri"/>
          <w:color w:val="000000"/>
          <w:sz w:val="22"/>
          <w:szCs w:val="22"/>
        </w:rPr>
        <w:t xml:space="preserve"> which by preying only on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favors the development of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in mixed infestations (Howell and Daugovish,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Eotetranychus lewisi </w:t>
      </w:r>
      <w:r>
        <w:rPr>
          <w:rFonts w:ascii="Calibri" w:hAnsi="Calibri" w:eastAsia="Calibri" w:cs="Calibri"/>
          <w:color w:val="000000"/>
          <w:sz w:val="22"/>
          <w:szCs w:val="22"/>
        </w:rPr>
        <w:t xml:space="preserve">presents a risk to glasshouse poinsettias. It has already been recorded and eradicated twice in the EPPO region. Once introduced, it could escape and establish outdoor in countries with mild winters, although this is considered as a rare event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fruits imported from third countries where the mite occurs, raspberry and strawberry plants for planting imported from third countries where the mite occurs while providing routes for possible pest entry to the EU, do not realistically provide opportunities for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to establish within the EU in the next 10 years (EFSA, 2017). This is due to either the highly controlled conditions under which strawberry and raspberry propagating material and plants for planting are grown and managed, or due to the handling and shipping conditions used to import citrus fruit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strawberry and raspberry, grapevine and peach similar impacts to those observed respectively in the USA, Chile and Mexico could be expected. Although, following its detection in Madeira, </w:t>
      </w:r>
      <w:r>
        <w:rPr>
          <w:rFonts w:ascii="Calibri" w:hAnsi="Calibri" w:eastAsia="Calibri" w:cs="Calibri"/>
          <w:i/>
          <w:iCs/>
          <w:color w:val="000000"/>
          <w:sz w:val="22"/>
          <w:szCs w:val="22"/>
        </w:rPr>
        <w:t xml:space="preserve">E. lewisi </w:t>
      </w:r>
      <w:r>
        <w:rPr>
          <w:rFonts w:ascii="Calibri" w:hAnsi="Calibri" w:eastAsia="Calibri" w:cs="Calibri"/>
          <w:color w:val="000000"/>
          <w:sz w:val="22"/>
          <w:szCs w:val="22"/>
        </w:rPr>
        <w:t xml:space="preserve">is not known to have caused any noticeable impacts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Any imported material of poinsettias (or other glasshouse ornamental hosts) should come from a place of production found free from the pest. Plants for planting (grapevine, strawberry and raspberry) should also come from an area or a place of production free of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Bethke J, Siapno O, Redak R (2004) The latest miticides. </w:t>
      </w:r>
      <w:r>
        <w:rPr>
          <w:rFonts w:ascii="Calibri" w:hAnsi="Calibri" w:eastAsia="Calibri" w:cs="Calibri"/>
          <w:i/>
          <w:iCs/>
          <w:color w:val="000000"/>
          <w:sz w:val="22"/>
          <w:szCs w:val="22"/>
        </w:rPr>
        <w:t xml:space="preserve">Greenhouse Product News,</w:t>
      </w:r>
      <w:r>
        <w:rPr>
          <w:rFonts w:ascii="Calibri" w:hAnsi="Calibri" w:eastAsia="Calibri" w:cs="Calibri"/>
          <w:color w:val="000000"/>
          <w:sz w:val="22"/>
          <w:szCs w:val="22"/>
        </w:rPr>
        <w:t xml:space="preserve"> 54-56. Available online: </w:t>
      </w:r>
      <w:hyperlink r:id="rId646169f65c28163c6" w:history="1">
        <w:r>
          <w:rPr>
            <w:rFonts w:ascii="Calibri" w:hAnsi="Calibri" w:eastAsia="Calibri" w:cs="Calibri"/>
            <w:color w:val="0000CC"/>
            <w:sz w:val="22"/>
            <w:szCs w:val="22"/>
            <w:u w:val="single"/>
          </w:rPr>
          <w:t xml:space="preserve">https://gpnmag.com/article/latest-miticides/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Dara S (2011) Lewis mite: a potential pest of strawberries and raspberries. Production and pest management practices for strawberries and vegetables. </w:t>
      </w:r>
      <w:r>
        <w:rPr>
          <w:rFonts w:ascii="Calibri" w:hAnsi="Calibri" w:eastAsia="Calibri" w:cs="Calibri"/>
          <w:i/>
          <w:iCs/>
          <w:color w:val="000000"/>
          <w:sz w:val="22"/>
          <w:szCs w:val="22"/>
        </w:rPr>
        <w:t xml:space="preserve">Division of agricultural and natural resources, University of California</w:t>
      </w:r>
      <w:r>
        <w:rPr>
          <w:rFonts w:ascii="Calibri" w:hAnsi="Calibri" w:eastAsia="Calibri" w:cs="Calibri"/>
          <w:color w:val="000000"/>
          <w:sz w:val="22"/>
          <w:szCs w:val="22"/>
        </w:rPr>
        <w:t xml:space="preserve">, USA. Available online: </w:t>
      </w:r>
      <w:hyperlink r:id="rId767369f65c281641d" w:history="1">
        <w:r>
          <w:rPr>
            <w:rFonts w:ascii="Calibri" w:hAnsi="Calibri" w:eastAsia="Calibri" w:cs="Calibri"/>
            <w:color w:val="0000CC"/>
            <w:sz w:val="22"/>
            <w:szCs w:val="22"/>
            <w:u w:val="single"/>
          </w:rPr>
          <w:t xml:space="preserve">ucanr.edu/blogs/blogcore/postdetail.cfm?postnum=4380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Doucette CF (1962) The lewis mite,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on greenhouse poinsettia.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139-140.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Jeger M, Bragard C, Caffier D,Candresse T, Chatzivassiliou E, Dehnen-Schmutz K, Gilioli G, Grégoire J-C, Jaques Miret JA, MacLeod A,Niere B, Parnell S, Potting R, Rafoss T, Rossi V, Urek G, Van Bruggen A, Van Der Werf W, West J,Winter S, Bergeretti F, Bjorklund N, Mosbach-Schulz O, Vos S, Navajas Navarro. Pest risk assessment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(10):4878, 122pp. Available online </w:t>
      </w:r>
      <w:hyperlink r:id="rId468069f65c281652d" w:history="1">
        <w:r>
          <w:rPr>
            <w:rFonts w:ascii="Calibri" w:hAnsi="Calibri" w:eastAsia="Calibri" w:cs="Calibri"/>
            <w:color w:val="0000CC"/>
            <w:sz w:val="22"/>
            <w:szCs w:val="22"/>
            <w:u w:val="single"/>
          </w:rPr>
          <w:t xml:space="preserve">https://doi.org/10.2903/j.efsa.2017.4878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(2006) Diagnostic Protocol for </w:t>
      </w:r>
      <w:r>
        <w:rPr>
          <w:rFonts w:ascii="Calibri" w:hAnsi="Calibri" w:eastAsia="Calibri" w:cs="Calibri"/>
          <w:i/>
          <w:iCs/>
          <w:color w:val="000000"/>
          <w:sz w:val="22"/>
          <w:szCs w:val="22"/>
        </w:rPr>
        <w:t xml:space="preserve">Eotetranychus lewisi </w:t>
      </w:r>
      <w:r>
        <w:rPr>
          <w:rFonts w:ascii="Calibri" w:hAnsi="Calibri" w:eastAsia="Calibri" w:cs="Calibri"/>
          <w:color w:val="000000"/>
          <w:sz w:val="22"/>
          <w:szCs w:val="22"/>
        </w:rPr>
        <w:t xml:space="preserve">PM 7/68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161–163. Available online </w:t>
      </w:r>
      <w:hyperlink r:id="rId726069f65c28165bb" w:history="1">
        <w:r>
          <w:rPr>
            <w:rFonts w:ascii="Calibri" w:hAnsi="Calibri" w:eastAsia="Calibri" w:cs="Calibri"/>
            <w:color w:val="0000CC"/>
            <w:sz w:val="22"/>
            <w:szCs w:val="22"/>
            <w:u w:val="single"/>
          </w:rPr>
          <w:t xml:space="preserve">https://gd.eppo.int/download/standard/192/pm7-068-1-en.pdf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Gilrein D (2006) Managing Lewis mites on poinsettia. </w:t>
      </w:r>
      <w:r>
        <w:rPr>
          <w:rFonts w:ascii="Calibri" w:hAnsi="Calibri" w:eastAsia="Calibri" w:cs="Calibri"/>
          <w:i/>
          <w:iCs/>
          <w:color w:val="000000"/>
          <w:sz w:val="22"/>
          <w:szCs w:val="22"/>
        </w:rPr>
        <w:t xml:space="preserve">Greenhouse Product News,</w:t>
      </w:r>
      <w:r>
        <w:rPr>
          <w:rFonts w:ascii="Calibri" w:hAnsi="Calibri" w:eastAsia="Calibri" w:cs="Calibri"/>
          <w:color w:val="000000"/>
          <w:sz w:val="22"/>
          <w:szCs w:val="22"/>
        </w:rPr>
        <w:t xml:space="preserve"> 63-66.</w:t>
      </w:r>
    </w:p>
    <w:p>
      <w:pPr>
        <w:widowControl w:val="on"/>
        <w:pBdr/>
        <w:spacing w:before="220" w:after="220" w:line="240" w:lineRule="auto"/>
        <w:ind w:left="0" w:right="0"/>
        <w:jc w:val="left"/>
      </w:pPr>
      <w:r>
        <w:rPr>
          <w:rFonts w:ascii="Calibri" w:hAnsi="Calibri" w:eastAsia="Calibri" w:cs="Calibri"/>
          <w:color w:val="000000"/>
          <w:sz w:val="22"/>
          <w:szCs w:val="22"/>
        </w:rPr>
        <w:t xml:space="preserve">Ho CC (2007) Monitoring on two exotic spider mites in Taiwan. </w:t>
      </w:r>
      <w:r>
        <w:rPr>
          <w:rFonts w:ascii="Calibri" w:hAnsi="Calibri" w:eastAsia="Calibri" w:cs="Calibri"/>
          <w:i/>
          <w:iCs/>
          <w:color w:val="000000"/>
          <w:sz w:val="22"/>
          <w:szCs w:val="22"/>
        </w:rPr>
        <w:t xml:space="preserve">Applied Zoology Division, Agricultural research Institute, COA, Taichung, Taiwan, ROC</w:t>
      </w:r>
      <w:r>
        <w:rPr>
          <w:rFonts w:ascii="Calibri" w:hAnsi="Calibri" w:eastAsia="Calibri" w:cs="Calibri"/>
          <w:color w:val="000000"/>
          <w:sz w:val="22"/>
          <w:szCs w:val="22"/>
        </w:rPr>
        <w:t xml:space="preserve">. 9 pp.</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AD, Daugovish O (2013) Biological Control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(Acari: Tetranychidae) on strawberry by four phytoseiids (Acari: Phytoseiidae).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(1),  80-85.</w:t>
      </w:r>
    </w:p>
    <w:p>
      <w:pPr>
        <w:widowControl w:val="on"/>
        <w:pBdr/>
        <w:spacing w:before="220" w:after="220" w:line="240" w:lineRule="auto"/>
        <w:ind w:left="0" w:right="0"/>
        <w:jc w:val="left"/>
      </w:pPr>
      <w:r>
        <w:rPr>
          <w:rFonts w:ascii="Calibri" w:hAnsi="Calibri" w:eastAsia="Calibri" w:cs="Calibri"/>
          <w:color w:val="000000"/>
          <w:sz w:val="22"/>
          <w:szCs w:val="22"/>
        </w:rPr>
        <w:t xml:space="preserve">Jeppson LR, Keifer HH, Baker EW (1975) In: </w:t>
      </w:r>
      <w:r>
        <w:rPr>
          <w:rFonts w:ascii="Calibri" w:hAnsi="Calibri" w:eastAsia="Calibri" w:cs="Calibri"/>
          <w:i/>
          <w:iCs/>
          <w:color w:val="000000"/>
          <w:sz w:val="22"/>
          <w:szCs w:val="22"/>
        </w:rPr>
        <w:t xml:space="preserve">Mites injurious to economic plants</w:t>
      </w:r>
      <w:r>
        <w:rPr>
          <w:rFonts w:ascii="Calibri" w:hAnsi="Calibri" w:eastAsia="Calibri" w:cs="Calibri"/>
          <w:color w:val="000000"/>
          <w:sz w:val="22"/>
          <w:szCs w:val="22"/>
        </w:rPr>
        <w:t xml:space="preserve">, pp. 166, 171-173. University of California Press, Berkeley, USA.</w:t>
      </w:r>
    </w:p>
    <w:p>
      <w:pPr>
        <w:widowControl w:val="on"/>
        <w:pBdr/>
        <w:spacing w:before="220" w:after="220" w:line="240" w:lineRule="auto"/>
        <w:ind w:left="0" w:right="0"/>
        <w:jc w:val="left"/>
      </w:pPr>
      <w:r>
        <w:rPr>
          <w:rFonts w:ascii="Calibri" w:hAnsi="Calibri" w:eastAsia="Calibri" w:cs="Calibri"/>
          <w:color w:val="000000"/>
          <w:sz w:val="22"/>
          <w:szCs w:val="22"/>
        </w:rPr>
        <w:t xml:space="preserve">Kaur P, Zalom FG (2017) Effect of temperature on the development of </w:t>
      </w:r>
      <w:r>
        <w:rPr>
          <w:rFonts w:ascii="Calibri" w:hAnsi="Calibri" w:eastAsia="Calibri" w:cs="Calibri"/>
          <w:i/>
          <w:iCs/>
          <w:color w:val="000000"/>
          <w:sz w:val="22"/>
          <w:szCs w:val="22"/>
        </w:rPr>
        <w:t xml:space="preserve">Tetranychus urticae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Eotetranychus lewisi</w:t>
      </w:r>
      <w:r>
        <w:rPr>
          <w:rFonts w:ascii="Calibri" w:hAnsi="Calibri" w:eastAsia="Calibri" w:cs="Calibri"/>
          <w:color w:val="000000"/>
          <w:sz w:val="22"/>
          <w:szCs w:val="22"/>
        </w:rPr>
        <w:t xml:space="preserve"> on strawberry.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441-444.</w:t>
      </w:r>
    </w:p>
    <w:p>
      <w:pPr>
        <w:widowControl w:val="on"/>
        <w:pBdr/>
        <w:spacing w:before="220" w:after="220" w:line="240" w:lineRule="auto"/>
        <w:ind w:left="0" w:right="0"/>
        <w:jc w:val="left"/>
      </w:pPr>
      <w:r>
        <w:rPr>
          <w:rFonts w:ascii="Calibri" w:hAnsi="Calibri" w:eastAsia="Calibri" w:cs="Calibri"/>
          <w:color w:val="000000"/>
          <w:sz w:val="22"/>
          <w:szCs w:val="22"/>
        </w:rPr>
        <w:t xml:space="preserve">Lai HS, Lin FC (2005) Development and population parameters of the Lewis spider mite, E</w:t>
      </w:r>
      <w:r>
        <w:rPr>
          <w:rFonts w:ascii="Calibri" w:hAnsi="Calibri" w:eastAsia="Calibri" w:cs="Calibri"/>
          <w:i/>
          <w:iCs/>
          <w:color w:val="000000"/>
          <w:sz w:val="22"/>
          <w:szCs w:val="22"/>
        </w:rPr>
        <w:t xml:space="preserve">otetranychus lewisi</w:t>
      </w:r>
      <w:r>
        <w:rPr>
          <w:rFonts w:ascii="Calibri" w:hAnsi="Calibri" w:eastAsia="Calibri" w:cs="Calibri"/>
          <w:color w:val="000000"/>
          <w:sz w:val="22"/>
          <w:szCs w:val="22"/>
        </w:rPr>
        <w:t xml:space="preserve">, on poinsettia. </w:t>
      </w:r>
      <w:r>
        <w:rPr>
          <w:rFonts w:ascii="Calibri" w:hAnsi="Calibri" w:eastAsia="Calibri" w:cs="Calibri"/>
          <w:i/>
          <w:iCs/>
          <w:color w:val="000000"/>
          <w:sz w:val="22"/>
          <w:szCs w:val="22"/>
        </w:rPr>
        <w:t xml:space="preserve">Plant Protection Bulletin</w:t>
      </w:r>
      <w:r>
        <w:rPr>
          <w:rFonts w:ascii="Calibri" w:hAnsi="Calibri" w:eastAsia="Calibri" w:cs="Calibri"/>
          <w:color w:val="000000"/>
          <w:sz w:val="22"/>
          <w:szCs w:val="22"/>
        </w:rPr>
        <w:t xml:space="preserve"> (Taichung),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379–390.</w:t>
      </w:r>
    </w:p>
    <w:p>
      <w:pPr>
        <w:widowControl w:val="on"/>
        <w:pBdr/>
        <w:spacing w:before="220" w:after="220" w:line="240" w:lineRule="auto"/>
        <w:ind w:left="0" w:right="0"/>
        <w:jc w:val="left"/>
      </w:pPr>
      <w:r>
        <w:rPr>
          <w:rFonts w:ascii="Calibri" w:hAnsi="Calibri" w:eastAsia="Calibri" w:cs="Calibri"/>
          <w:color w:val="000000"/>
          <w:sz w:val="22"/>
          <w:szCs w:val="22"/>
        </w:rPr>
        <w:t xml:space="preserve">Ochoa R, Aguilar H, Vargas C (1991) In: </w:t>
      </w:r>
      <w:r>
        <w:rPr>
          <w:rFonts w:ascii="Calibri" w:hAnsi="Calibri" w:eastAsia="Calibri" w:cs="Calibri"/>
          <w:i/>
          <w:iCs/>
          <w:color w:val="000000"/>
          <w:sz w:val="22"/>
          <w:szCs w:val="22"/>
        </w:rPr>
        <w:t xml:space="preserve">Phytophagous mites of Central America: illustrated guide</w:t>
      </w:r>
      <w:r>
        <w:rPr>
          <w:rFonts w:ascii="Calibri" w:hAnsi="Calibri" w:eastAsia="Calibri" w:cs="Calibri"/>
          <w:color w:val="000000"/>
          <w:sz w:val="22"/>
          <w:szCs w:val="22"/>
        </w:rPr>
        <w:t xml:space="preserve">, pp. 93-94, 139-140. Centro Agronómico Tropical de Investigación y Enseñanza, Turrialba, Costa Rica.</w:t>
      </w:r>
    </w:p>
    <w:p>
      <w:pPr>
        <w:widowControl w:val="on"/>
        <w:pBdr/>
        <w:spacing w:before="220" w:after="220" w:line="240" w:lineRule="auto"/>
        <w:ind w:left="0" w:right="0"/>
        <w:jc w:val="left"/>
      </w:pPr>
      <w:r>
        <w:rPr>
          <w:rFonts w:ascii="Calibri" w:hAnsi="Calibri" w:eastAsia="Calibri" w:cs="Calibri"/>
          <w:color w:val="000000"/>
          <w:sz w:val="22"/>
          <w:szCs w:val="22"/>
        </w:rPr>
        <w:t xml:space="preserve">Perez-Santiago G, Alcaraz J, Garcia-Gutierre C, Alvarez Zagoya R (2002) Susceptibility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(Acari: Tetranychidae) to four acaricides. Morales-Malacara JB and Rivas G, XI International Congress of Acarology, Merida, Mexico, Universidad Nacional Autonoma de Mexico. Abstract book: 253.</w:t>
      </w:r>
    </w:p>
    <w:p>
      <w:pPr>
        <w:widowControl w:val="on"/>
        <w:pBdr/>
        <w:spacing w:before="220" w:after="220" w:line="240" w:lineRule="auto"/>
        <w:ind w:left="0" w:right="0"/>
        <w:jc w:val="left"/>
      </w:pPr>
      <w:r>
        <w:rPr>
          <w:rFonts w:ascii="Calibri" w:hAnsi="Calibri" w:eastAsia="Calibri" w:cs="Calibri"/>
          <w:color w:val="000000"/>
          <w:sz w:val="22"/>
          <w:szCs w:val="22"/>
        </w:rPr>
        <w:t xml:space="preserve">Pérez-Santiago G, Otero-Colina G, González Hernández VA, Ramírez Guzmán ME, González Hernández H, López Jiménez A (2007) The population level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and the concentration of carbohydrates in peach trees. </w:t>
      </w:r>
      <w:r>
        <w:rPr>
          <w:rFonts w:ascii="Calibri" w:hAnsi="Calibri" w:eastAsia="Calibri" w:cs="Calibri"/>
          <w:i/>
          <w:iCs/>
          <w:color w:val="000000"/>
          <w:sz w:val="22"/>
          <w:szCs w:val="22"/>
        </w:rPr>
        <w:t xml:space="preserve">Experimental and Applied Acarology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255-263. </w:t>
      </w:r>
      <w:hyperlink r:id="rId410069f65c2816946" w:history="1">
        <w:r>
          <w:rPr>
            <w:rFonts w:ascii="Calibri" w:hAnsi="Calibri" w:eastAsia="Calibri" w:cs="Calibri"/>
            <w:color w:val="0000CC"/>
            <w:sz w:val="22"/>
            <w:szCs w:val="22"/>
            <w:u w:val="single"/>
          </w:rPr>
          <w:t xml:space="preserve">https://doi.org/10.1007/s10493-007-9122-x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Smith-Meyer MKP (1974) A revision of the Tetranychidae of Africa (Acari) with a key to the genera of the world. </w:t>
      </w:r>
      <w:r>
        <w:rPr>
          <w:rFonts w:ascii="Calibri" w:hAnsi="Calibri" w:eastAsia="Calibri" w:cs="Calibri"/>
          <w:i/>
          <w:iCs/>
          <w:color w:val="000000"/>
          <w:sz w:val="22"/>
          <w:szCs w:val="22"/>
        </w:rPr>
        <w:t xml:space="preserve">Entomology Memoir, Department of Agricultural Technical Services, Republic of South Africa</w:t>
      </w:r>
      <w:r>
        <w:rPr>
          <w:rFonts w:ascii="Calibri" w:hAnsi="Calibri" w:eastAsia="Calibri" w:cs="Calibri"/>
          <w:color w:val="000000"/>
          <w:sz w:val="22"/>
          <w:szCs w:val="22"/>
        </w:rPr>
        <w:t xml:space="preserve"> No. 36, 136-141, 148-149.</w:t>
      </w:r>
    </w:p>
    <w:p>
      <w:pPr>
        <w:widowControl w:val="on"/>
        <w:pBdr/>
        <w:spacing w:before="220" w:after="220" w:line="240" w:lineRule="auto"/>
        <w:ind w:left="0" w:right="0"/>
        <w:jc w:val="left"/>
      </w:pPr>
      <w:r>
        <w:rPr>
          <w:rFonts w:ascii="Calibri" w:hAnsi="Calibri" w:eastAsia="Calibri" w:cs="Calibri"/>
          <w:color w:val="000000"/>
          <w:sz w:val="22"/>
          <w:szCs w:val="22"/>
        </w:rPr>
        <w:t xml:space="preserve">Smith-Meyer KP (1987) African Tetranychidae (Acari: Prostigmata) ­with reference to the world fauna. </w:t>
      </w:r>
      <w:r>
        <w:rPr>
          <w:rFonts w:ascii="Calibri" w:hAnsi="Calibri" w:eastAsia="Calibri" w:cs="Calibri"/>
          <w:i/>
          <w:iCs/>
          <w:color w:val="000000"/>
          <w:sz w:val="22"/>
          <w:szCs w:val="22"/>
        </w:rPr>
        <w:t xml:space="preserve">Entomology Memoir, Department of Agriculture and Water Supply, Republic of South Africa</w:t>
      </w:r>
      <w:r>
        <w:rPr>
          <w:rFonts w:ascii="Calibri" w:hAnsi="Calibri" w:eastAsia="Calibri" w:cs="Calibri"/>
          <w:color w:val="000000"/>
          <w:sz w:val="22"/>
          <w:szCs w:val="22"/>
        </w:rPr>
        <w:t xml:space="preserve"> No. 69, 111, 115-116.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Alain Migeon (INRAE, Montpellier, FR).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EPPO datasheets on pests recommended for regulation. Available online. </w:t>
      </w:r>
      <w:hyperlink r:id="rId621169f65c2816a7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69625906" name="name195669f65c2816b5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55969f65c2816b5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538392">
    <w:multiLevelType w:val="hybridMultilevel"/>
    <w:lvl w:ilvl="0" w:tplc="72097624">
      <w:start w:val="1"/>
      <w:numFmt w:val="decimal"/>
      <w:lvlText w:val="%1."/>
      <w:lvlJc w:val="left"/>
      <w:pPr>
        <w:ind w:left="720" w:hanging="360"/>
      </w:pPr>
    </w:lvl>
    <w:lvl w:ilvl="1" w:tplc="72097624" w:tentative="1">
      <w:start w:val="1"/>
      <w:numFmt w:val="lowerLetter"/>
      <w:lvlText w:val="%2."/>
      <w:lvlJc w:val="left"/>
      <w:pPr>
        <w:ind w:left="1440" w:hanging="360"/>
      </w:pPr>
    </w:lvl>
    <w:lvl w:ilvl="2" w:tplc="72097624" w:tentative="1">
      <w:start w:val="1"/>
      <w:numFmt w:val="lowerRoman"/>
      <w:lvlText w:val="%3."/>
      <w:lvlJc w:val="right"/>
      <w:pPr>
        <w:ind w:left="2160" w:hanging="180"/>
      </w:pPr>
    </w:lvl>
    <w:lvl w:ilvl="3" w:tplc="72097624" w:tentative="1">
      <w:start w:val="1"/>
      <w:numFmt w:val="decimal"/>
      <w:lvlText w:val="%4."/>
      <w:lvlJc w:val="left"/>
      <w:pPr>
        <w:ind w:left="2880" w:hanging="360"/>
      </w:pPr>
    </w:lvl>
    <w:lvl w:ilvl="4" w:tplc="72097624" w:tentative="1">
      <w:start w:val="1"/>
      <w:numFmt w:val="lowerLetter"/>
      <w:lvlText w:val="%5."/>
      <w:lvlJc w:val="left"/>
      <w:pPr>
        <w:ind w:left="3600" w:hanging="360"/>
      </w:pPr>
    </w:lvl>
    <w:lvl w:ilvl="5" w:tplc="72097624" w:tentative="1">
      <w:start w:val="1"/>
      <w:numFmt w:val="lowerRoman"/>
      <w:lvlText w:val="%6."/>
      <w:lvlJc w:val="right"/>
      <w:pPr>
        <w:ind w:left="4320" w:hanging="180"/>
      </w:pPr>
    </w:lvl>
    <w:lvl w:ilvl="6" w:tplc="72097624" w:tentative="1">
      <w:start w:val="1"/>
      <w:numFmt w:val="decimal"/>
      <w:lvlText w:val="%7."/>
      <w:lvlJc w:val="left"/>
      <w:pPr>
        <w:ind w:left="5040" w:hanging="360"/>
      </w:pPr>
    </w:lvl>
    <w:lvl w:ilvl="7" w:tplc="72097624" w:tentative="1">
      <w:start w:val="1"/>
      <w:numFmt w:val="lowerLetter"/>
      <w:lvlText w:val="%8."/>
      <w:lvlJc w:val="left"/>
      <w:pPr>
        <w:ind w:left="5760" w:hanging="360"/>
      </w:pPr>
    </w:lvl>
    <w:lvl w:ilvl="8" w:tplc="72097624" w:tentative="1">
      <w:start w:val="1"/>
      <w:numFmt w:val="lowerRoman"/>
      <w:lvlText w:val="%9."/>
      <w:lvlJc w:val="right"/>
      <w:pPr>
        <w:ind w:left="6480" w:hanging="180"/>
      </w:pPr>
    </w:lvl>
  </w:abstractNum>
  <w:abstractNum w:abstractNumId="86538391">
    <w:multiLevelType w:val="hybridMultilevel"/>
    <w:lvl w:ilvl="0" w:tplc="908948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538391">
    <w:abstractNumId w:val="86538391"/>
  </w:num>
  <w:num w:numId="86538392">
    <w:abstractNumId w:val="865383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5376122" Type="http://schemas.microsoft.com/office/2011/relationships/commentsExtended" Target="commentsExtended.xml"/><Relationship Id="rId614623649" Type="http://schemas.microsoft.com/office/2011/relationships/people" Target="people.xml"/><Relationship Id="rId884169f65c2813384" Type="http://schemas.openxmlformats.org/officeDocument/2006/relationships/hyperlink" Target="https://gd.eppo.int/taxon/EOTELE/" TargetMode="External"/><Relationship Id="rId252769f65c28133c8" Type="http://schemas.openxmlformats.org/officeDocument/2006/relationships/hyperlink" Target="https://gd.eppo.int/taxon/EOTELE/categorization" TargetMode="External"/><Relationship Id="rId685169f65c2813a2f" Type="http://schemas.openxmlformats.org/officeDocument/2006/relationships/hyperlink" Target="https://gd.eppo.int/taxon/EOTELE/photos" TargetMode="External"/><Relationship Id="rId646169f65c28163c6" Type="http://schemas.openxmlformats.org/officeDocument/2006/relationships/hyperlink" Target="https://gpnmag.com/article/latest-miticides/" TargetMode="External"/><Relationship Id="rId767369f65c281641d" Type="http://schemas.openxmlformats.org/officeDocument/2006/relationships/hyperlink" Target="http://ucanr.edu/blogs/blogcore/postdetail.cfm?postnum=4380" TargetMode="External"/><Relationship Id="rId468069f65c281652d" Type="http://schemas.openxmlformats.org/officeDocument/2006/relationships/hyperlink" Target="https://doi.org/10.2903/j.efsa.2017.4878" TargetMode="External"/><Relationship Id="rId726069f65c28165bb" Type="http://schemas.openxmlformats.org/officeDocument/2006/relationships/hyperlink" Target="https://gd.eppo.int/download/standard/192/pm7-068-1-en.pdf" TargetMode="External"/><Relationship Id="rId410069f65c2816946" Type="http://schemas.openxmlformats.org/officeDocument/2006/relationships/hyperlink" Target="https://doi.org/10.1007/s10493-007-9122-x" TargetMode="External"/><Relationship Id="rId621169f65c2816a79" Type="http://schemas.openxmlformats.org/officeDocument/2006/relationships/hyperlink" Target="https://gd.eppo.int" TargetMode="External"/><Relationship Id="rId745369f65c28137f2" Type="http://schemas.openxmlformats.org/officeDocument/2006/relationships/image" Target="media/imgrId745369f65c28137f2.jpg"/><Relationship Id="rId945869f65c28155a8" Type="http://schemas.openxmlformats.org/officeDocument/2006/relationships/image" Target="media/imgrId945869f65c28155a8.jpg"/><Relationship Id="rId655969f65c2816b5b" Type="http://schemas.openxmlformats.org/officeDocument/2006/relationships/image" Target="media/imgrId655969f65c2816b5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