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Cryphonectria parasitica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Cryphonectria parasitica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Barr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Cryphonectriaceae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Diaporthe parasitica</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Endothia parasitica</w:t>
            </w:r>
            <w:r>
              <w:rPr>
                <w:rFonts w:ascii="Calibri" w:hAnsi="Calibri" w:eastAsia="Calibri" w:cs="Calibri"/>
                <w:color w:val="000000"/>
                <w:position w:val="-3"/>
                <w:sz w:val="22"/>
                <w:szCs w:val="22"/>
              </w:rPr>
              <w:t xml:space="preserve"> (Murrill) P.J.Anderson &amp; H.W.Anderson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blight of chestnut, blight of oak, canker of chestnut, chestnut blight, sweet chestnut blight</w:t>
            </w:r>
            <w:hyperlink r:id="rId107966980e9471af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139566980e9471b8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ENDOPA</w:t>
            </w:r>
          </w:p>
        </w:tc>
        <w:tc>
          <w:tcPr>
            <w:tcW w:w="2000" w:type="pct"/>
            <w:tcMar>
              <w:top w:w="15" w:type="dxa"/>
              <w:left w:w="15" w:type="dxa"/>
              <w:bottom w:w="15" w:type="dxa"/>
              <w:right w:w="15" w:type="dxa"/>
            </w:tcMar>
            <w:vAlign w:val="center"/>
          </w:tcPr>
          <w:p>
            <w:r>
              <w:rPr>
                <w:position w:val="8"/>
              </w:rPr>
              <w:drawing>
                <wp:inline distT="0" distB="0" distL="0" distR="0">
                  <wp:extent cx="2160000" cy="0"/>
                  <wp:docPr id="61187806" name="name636566980e947250d" descr="15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1.jpg"/>
                          <pic:cNvPicPr/>
                        </pic:nvPicPr>
                        <pic:blipFill>
                          <a:blip r:embed="rId564666980e947250b" cstate="print"/>
                          <a:stretch>
                            <a:fillRect/>
                          </a:stretch>
                        </pic:blipFill>
                        <pic:spPr>
                          <a:xfrm>
                            <a:off x="0" y="0"/>
                            <a:ext cx="2160000" cy="0"/>
                          </a:xfrm>
                          <a:prstGeom prst="rect">
                            <a:avLst/>
                          </a:prstGeom>
                          <a:ln w="0">
                            <a:noFill/>
                          </a:ln>
                        </pic:spPr>
                      </pic:pic>
                    </a:graphicData>
                  </a:graphic>
                </wp:inline>
              </w:drawing>
            </w:r>
            <w:hyperlink r:id="rId533866980e9481af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originally described and assigned to the genus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and species </w:t>
      </w:r>
      <w:r>
        <w:rPr>
          <w:rFonts w:ascii="Calibri" w:hAnsi="Calibri" w:eastAsia="Calibri" w:cs="Calibri"/>
          <w:i/>
          <w:iCs/>
          <w:color w:val="000000"/>
          <w:sz w:val="22"/>
          <w:szCs w:val="22"/>
        </w:rPr>
        <w:t xml:space="preserve">parasitica</w:t>
      </w:r>
      <w:r>
        <w:rPr>
          <w:rFonts w:ascii="Calibri" w:hAnsi="Calibri" w:eastAsia="Calibri" w:cs="Calibri"/>
          <w:color w:val="000000"/>
          <w:sz w:val="22"/>
          <w:szCs w:val="22"/>
        </w:rPr>
        <w:t xml:space="preserve"> (Murrill, 1906) the species was later placed in the genus </w:t>
      </w:r>
      <w:r>
        <w:rPr>
          <w:rFonts w:ascii="Calibri" w:hAnsi="Calibri" w:eastAsia="Calibri" w:cs="Calibri"/>
          <w:i/>
          <w:iCs/>
          <w:color w:val="000000"/>
          <w:sz w:val="22"/>
          <w:szCs w:val="22"/>
        </w:rPr>
        <w:t xml:space="preserve">Endothia</w:t>
      </w:r>
      <w:r>
        <w:rPr>
          <w:rFonts w:ascii="Calibri" w:hAnsi="Calibri" w:eastAsia="Calibri" w:cs="Calibri"/>
          <w:color w:val="000000"/>
          <w:sz w:val="22"/>
          <w:szCs w:val="22"/>
        </w:rPr>
        <w:t xml:space="preserve"> and subsequently in the genus </w:t>
      </w:r>
      <w:r>
        <w:rPr>
          <w:rFonts w:ascii="Calibri" w:hAnsi="Calibri" w:eastAsia="Calibri" w:cs="Calibri"/>
          <w:i/>
          <w:iCs/>
          <w:color w:val="000000"/>
          <w:sz w:val="22"/>
          <w:szCs w:val="22"/>
        </w:rPr>
        <w:t xml:space="preserve">Cryphonectria </w:t>
      </w:r>
      <w:r>
        <w:rPr>
          <w:rFonts w:ascii="Calibri" w:hAnsi="Calibri" w:eastAsia="Calibri" w:cs="Calibri"/>
          <w:color w:val="000000"/>
          <w:sz w:val="22"/>
          <w:szCs w:val="22"/>
        </w:rPr>
        <w:t xml:space="preserve">due to discrepancies in the shape of ascospores, i.e. ovoid to ellipsoid with a single septum for </w:t>
      </w:r>
      <w:r>
        <w:rPr>
          <w:rFonts w:ascii="Calibri" w:hAnsi="Calibri" w:eastAsia="Calibri" w:cs="Calibri"/>
          <w:i/>
          <w:iCs/>
          <w:color w:val="000000"/>
          <w:sz w:val="22"/>
          <w:szCs w:val="22"/>
        </w:rPr>
        <w:t xml:space="preserve">Cryphonectria</w:t>
      </w:r>
      <w:r>
        <w:rPr>
          <w:rFonts w:ascii="Calibri" w:hAnsi="Calibri" w:eastAsia="Calibri" w:cs="Calibri"/>
          <w:color w:val="000000"/>
          <w:sz w:val="22"/>
          <w:szCs w:val="22"/>
        </w:rPr>
        <w:t xml:space="preserve"> whereas for </w:t>
      </w:r>
      <w:r>
        <w:rPr>
          <w:rFonts w:ascii="Calibri" w:hAnsi="Calibri" w:eastAsia="Calibri" w:cs="Calibri"/>
          <w:i/>
          <w:iCs/>
          <w:color w:val="000000"/>
          <w:sz w:val="22"/>
          <w:szCs w:val="22"/>
        </w:rPr>
        <w:t xml:space="preserve">Endothia </w:t>
      </w:r>
      <w:r>
        <w:rPr>
          <w:rFonts w:ascii="Calibri" w:hAnsi="Calibri" w:eastAsia="Calibri" w:cs="Calibri"/>
          <w:color w:val="000000"/>
          <w:sz w:val="22"/>
          <w:szCs w:val="22"/>
        </w:rPr>
        <w:t xml:space="preserve">these are non-septate (Barr,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Chestnuts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C. dentata </w:t>
      </w:r>
      <w:r>
        <w:rPr>
          <w:rFonts w:ascii="Calibri" w:hAnsi="Calibri" w:eastAsia="Calibri" w:cs="Calibri"/>
          <w:color w:val="000000"/>
          <w:sz w:val="22"/>
          <w:szCs w:val="22"/>
        </w:rPr>
        <w:t xml:space="preserve">(American chestnut) and to a lesser extent the Eurasian species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(sweet chestnut) are the main hosts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Resistant, but not immune, non-European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include </w:t>
      </w:r>
      <w:r>
        <w:rPr>
          <w:rFonts w:ascii="Calibri" w:hAnsi="Calibri" w:eastAsia="Calibri" w:cs="Calibri"/>
          <w:i/>
          <w:iCs/>
          <w:color w:val="000000"/>
          <w:sz w:val="22"/>
          <w:szCs w:val="22"/>
        </w:rPr>
        <w:t xml:space="preserve">C. mollissima</w:t>
      </w:r>
      <w:r>
        <w:rPr>
          <w:rFonts w:ascii="Calibri" w:hAnsi="Calibri" w:eastAsia="Calibri" w:cs="Calibri"/>
          <w:color w:val="000000"/>
          <w:sz w:val="22"/>
          <w:szCs w:val="22"/>
        </w:rPr>
        <w:t xml:space="preserve"> (Chinese chestnut),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(Japanese chestnut), </w:t>
      </w:r>
      <w:r>
        <w:rPr>
          <w:rFonts w:ascii="Calibri" w:hAnsi="Calibri" w:eastAsia="Calibri" w:cs="Calibri"/>
          <w:i/>
          <w:iCs/>
          <w:color w:val="000000"/>
          <w:sz w:val="22"/>
          <w:szCs w:val="22"/>
        </w:rPr>
        <w:t xml:space="preserve">C. davidii</w:t>
      </w:r>
      <w:r>
        <w:rPr>
          <w:rFonts w:ascii="Calibri" w:hAnsi="Calibri" w:eastAsia="Calibri" w:cs="Calibri"/>
          <w:color w:val="000000"/>
          <w:sz w:val="22"/>
          <w:szCs w:val="22"/>
        </w:rPr>
        <w:t xml:space="preserve"> (Père David’s chestnut), </w:t>
      </w:r>
      <w:r>
        <w:rPr>
          <w:rFonts w:ascii="Calibri" w:hAnsi="Calibri" w:eastAsia="Calibri" w:cs="Calibri"/>
          <w:i/>
          <w:iCs/>
          <w:color w:val="000000"/>
          <w:sz w:val="22"/>
          <w:szCs w:val="22"/>
        </w:rPr>
        <w:t xml:space="preserve">C. henryi</w:t>
      </w:r>
      <w:r>
        <w:rPr>
          <w:rFonts w:ascii="Calibri" w:hAnsi="Calibri" w:eastAsia="Calibri" w:cs="Calibri"/>
          <w:color w:val="000000"/>
          <w:sz w:val="22"/>
          <w:szCs w:val="22"/>
        </w:rPr>
        <w:t xml:space="preserve"> (Henry’s chestnut) and </w:t>
      </w:r>
      <w:r>
        <w:rPr>
          <w:rFonts w:ascii="Calibri" w:hAnsi="Calibri" w:eastAsia="Calibri" w:cs="Calibri"/>
          <w:i/>
          <w:iCs/>
          <w:color w:val="000000"/>
          <w:sz w:val="22"/>
          <w:szCs w:val="22"/>
        </w:rPr>
        <w:t xml:space="preserve">C. seguinii</w:t>
      </w:r>
      <w:r>
        <w:rPr>
          <w:rFonts w:ascii="Calibri" w:hAnsi="Calibri" w:eastAsia="Calibri" w:cs="Calibri"/>
          <w:color w:val="000000"/>
          <w:sz w:val="22"/>
          <w:szCs w:val="22"/>
        </w:rPr>
        <w:t xml:space="preserve"> (Seguin’s chestnut). Infection in Asian chestnuts results in small cankers which are quickly walled off by callus tissue and only marginal damage to the tree occurs. Within the EPPO region,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 </w:t>
      </w:r>
      <w:r>
        <w:rPr>
          <w:rFonts w:ascii="Calibri" w:hAnsi="Calibri" w:eastAsia="Calibri" w:cs="Calibri"/>
          <w:color w:val="000000"/>
          <w:sz w:val="22"/>
          <w:szCs w:val="22"/>
        </w:rPr>
        <w:t xml:space="preserve">is the main host.</w:t>
      </w:r>
    </w:p>
    <w:p>
      <w:pPr>
        <w:widowControl w:val="on"/>
        <w:pBdr/>
        <w:spacing w:before="220" w:after="220" w:line="240" w:lineRule="auto"/>
        <w:ind w:left="0" w:right="0"/>
        <w:jc w:val="both"/>
      </w:pPr>
      <w:r>
        <w:rPr>
          <w:rFonts w:ascii="Calibri" w:hAnsi="Calibri" w:eastAsia="Calibri" w:cs="Calibri"/>
          <w:color w:val="000000"/>
          <w:sz w:val="22"/>
          <w:szCs w:val="22"/>
        </w:rPr>
        <w:t xml:space="preserve">Rare hosts include oaks (i.e.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maples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European hornbeam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and American chinquapin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Asymptomatic host plants, from which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was isolated in nature, or after inoculation, but not causing symptoms of disease, include </w:t>
      </w:r>
      <w:r>
        <w:rPr>
          <w:rFonts w:ascii="Calibri" w:hAnsi="Calibri" w:eastAsia="Calibri" w:cs="Calibri"/>
          <w:i/>
          <w:iCs/>
          <w:color w:val="000000"/>
          <w:sz w:val="22"/>
          <w:szCs w:val="22"/>
        </w:rPr>
        <w:t xml:space="preserve">Ostrya carpinifolia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Other asymptomatic host species include </w:t>
      </w:r>
      <w:r>
        <w:rPr>
          <w:rFonts w:ascii="Calibri" w:hAnsi="Calibri" w:eastAsia="Calibri" w:cs="Calibri"/>
          <w:i/>
          <w:iCs/>
          <w:color w:val="000000"/>
          <w:sz w:val="22"/>
          <w:szCs w:val="22"/>
        </w:rPr>
        <w:t xml:space="preserve">Carya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Liriodendron tulipifera, Malus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(staghorn sumac).</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ozarkensis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seguinii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is native to Asia and it was introduced into North America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when Japanese chestnuts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were being imported to continental USA. It spread within the next five decades throughout all the main areas were chestnut was present. The pathogen eliminated the American chestnut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in Central and Eastern USA, which was previously a main component of hardwood forests (Anagnostakis, 1987). In 1938, the pathogen was first discovered in Europe as an isolated focus near Genova, Italy. Once again, the fungus spread very rapidly and at the end of the 1960s, most parts of Southern Europe where chestnuts are cultivated were affected by the pathogen. In Croatia, Hungary, Italy, Portugal, France and Slovenia, the pathogen is present across the areas where the host plants occur whereas Austria, Belgium, Bulgaria, Germany, Greece, Slovak Republic, and Spain report a restricted distribution. The United Kingdom recently reported re-emergence of the pathogen (in London, West Sussex and Cornwall), after it was thought to be eradicated (Forest Services UK, 2019).</w:t>
      </w:r>
    </w:p>
    <w:p>
      <w:r>
        <w:drawing>
          <wp:inline distT="0" distB="0" distL="0" distR="0">
            <wp:extent cx="6120000" cy="0"/>
            <wp:docPr id="67380856" name="name248166980e9483244" descr="ENDO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PA_distribution_map.jpg"/>
                    <pic:cNvPicPr/>
                  </pic:nvPicPr>
                  <pic:blipFill>
                    <a:blip r:embed="rId880666980e9483240"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Azerbaijan, Belgium, Bosnia and Herzegovina, Bulgaria, Croatia, Czech Republic, France (mainland, Corse), Georgia, Germany, Greece (mainland, Kriti), Guernsey, Hungary, Italy (mainland, Sardegna, Sicilia), Jersey, Netherlands, North Macedonia, Portugal (mainland, Azores, Madeira), Romania, Russia (Southern Russia), Serbia, Slovakia, Slovenia, Spain (mainland),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Hebei, Henan, Hubei, Hunan, Jiangsu, Jiangxi, Liaoning, Shaanxi, Shandong, Yunnan, Zhejiang), India (Uttarakhand, Uttar Pradesh), Iran, Japan (Honshu),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United States of America (Arkansas, California, Connecticut, Florida, Georgia, Illinois, Indiana, Iowa, Kentucky, Louisiana, Maryland, Massachusetts, Michigan, Minnesota, Mississippi, New Hampshire, New Jersey, New York, North Carolina, Oregon, Pennsylvania, Tennessee, Texas,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are triggered when the fungus enters a bark fissure or an open wound in the wood cortex, or in a stem. Wounds produced mechanically, weather related or generated by insects, are common points of infection. It has been recently shown that chestnut galls induced by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can be heavily colonized by virulent strains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result from the growth of mycelia into the host tissue. A canker can become visible on a tree within three to five weeks. The first visible sign of the disease is a darkened area around the point of infection. The fungus grows as pale white mycelial fans which destroy the parenchyma and cambium of the plant. The fans will progressively constrain the stem or branch, disrupting sap circulation in the phloem, particularly in the terminal branches of the plant, resulting in wilting and death of tissues. Mycelium can live for up to 10 months in dried bark (Hepting, 1974). On fruit, the fungus is associated only with the nutshell and apparently does not affect seed germination or seedling growth (Jaynes &amp; DePalma, 1984).</w:t>
      </w:r>
    </w:p>
    <w:p>
      <w:pPr>
        <w:widowControl w:val="on"/>
        <w:pBdr/>
        <w:spacing w:before="220" w:after="220" w:line="240" w:lineRule="auto"/>
        <w:ind w:left="0" w:right="0"/>
        <w:jc w:val="both"/>
      </w:pPr>
      <w:r>
        <w:rPr>
          <w:rFonts w:ascii="Calibri" w:hAnsi="Calibri" w:eastAsia="Calibri" w:cs="Calibri"/>
          <w:color w:val="000000"/>
          <w:sz w:val="22"/>
          <w:szCs w:val="22"/>
        </w:rPr>
        <w:t xml:space="preserve">Bark overlaying the infection site becomes loose and sheds from the tree. At this stage, the fungal mycelium produces pycnidia followed by production of stromata tissue where the reproductive structures of the fungus (perithecia) are formed in sac-like structures. Perithecia are yellow-orange to reddish-brown and produced in groups. Long, coiled tendrils of conidial spores exude from pycnidia in wet weather. Collateral infections from branch to branch occur, and when infection reaches the main trunk, death of the tree quickly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also exist as a saprophyte on broad-leaved trees beyond its parasitic host range. Saprophytic activity of the species has been found in chestnut wood from trees which recently died and the saprophytic phase of the fungus contributed to the dissemination of hypovirulence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Hypovirulence (i.e. inability to produce severe symptoms)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was first observed in the 1950s when heavily infested chestnut stands in Italy showed signs of recovery (Heininger &amp; Rigling, 1994). Hypovirulence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results from infection by a double-stranded RNA mycovirus, mainly </w:t>
      </w:r>
      <w:r>
        <w:rPr>
          <w:rFonts w:ascii="Calibri" w:hAnsi="Calibri" w:eastAsia="Calibri" w:cs="Calibri"/>
          <w:i/>
          <w:iCs/>
          <w:color w:val="000000"/>
          <w:sz w:val="22"/>
          <w:szCs w:val="22"/>
        </w:rPr>
        <w:t xml:space="preserve">Cryphonectria hypovirus 1</w:t>
      </w:r>
      <w:r>
        <w:rPr>
          <w:rFonts w:ascii="Calibri" w:hAnsi="Calibri" w:eastAsia="Calibri" w:cs="Calibri"/>
          <w:color w:val="000000"/>
          <w:sz w:val="22"/>
          <w:szCs w:val="22"/>
        </w:rPr>
        <w:t xml:space="preserve"> (CHV-1), and is transferred between fungal individuals (horizontal transmission) through hyphal fusion (i.e. anastomosis). Vertical transmission can also occur with asexual spores which carry the hypovirus to new hosts (Peever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Cortesi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Rigling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mycoviruses have been detected in</w:t>
      </w:r>
      <w:r>
        <w:rPr>
          <w:rFonts w:ascii="Calibri" w:hAnsi="Calibri" w:eastAsia="Calibri" w:cs="Calibri"/>
          <w:i/>
          <w:iCs/>
          <w:color w:val="000000"/>
          <w:sz w:val="22"/>
          <w:szCs w:val="22"/>
        </w:rPr>
        <w:t xml:space="preserve"> C. parasitica</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Hypovirus</w:t>
      </w:r>
      <w:r>
        <w:rPr>
          <w:rFonts w:ascii="Calibri" w:hAnsi="Calibri" w:eastAsia="Calibri" w:cs="Calibri"/>
          <w:color w:val="000000"/>
          <w:sz w:val="22"/>
          <w:szCs w:val="22"/>
        </w:rPr>
        <w:t xml:space="preserve"> (CHV-2, CHV-3, and CHV-4) as well as in other virus genera, i.e., two Reoviruses, </w:t>
      </w:r>
      <w:r>
        <w:rPr>
          <w:rFonts w:ascii="Calibri" w:hAnsi="Calibri" w:eastAsia="Calibri" w:cs="Calibri"/>
          <w:i/>
          <w:iCs/>
          <w:color w:val="000000"/>
          <w:sz w:val="22"/>
          <w:szCs w:val="22"/>
        </w:rPr>
        <w:t xml:space="preserve">9B21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C-18</w:t>
      </w:r>
      <w:r>
        <w:rPr>
          <w:rFonts w:ascii="Calibri" w:hAnsi="Calibri" w:eastAsia="Calibri" w:cs="Calibri"/>
          <w:color w:val="000000"/>
          <w:sz w:val="22"/>
          <w:szCs w:val="22"/>
        </w:rPr>
        <w:t xml:space="preserve">; and a mitochondrial virus, </w:t>
      </w:r>
      <w:r>
        <w:rPr>
          <w:rFonts w:ascii="Calibri" w:hAnsi="Calibri" w:eastAsia="Calibri" w:cs="Calibri"/>
          <w:i/>
          <w:iCs/>
          <w:color w:val="000000"/>
          <w:sz w:val="22"/>
          <w:szCs w:val="22"/>
        </w:rPr>
        <w:t xml:space="preserve">Cryphonectria mitovirus 1/NB631</w:t>
      </w:r>
      <w:r>
        <w:rPr>
          <w:rFonts w:ascii="Calibri" w:hAnsi="Calibri" w:eastAsia="Calibri" w:cs="Calibri"/>
          <w:color w:val="000000"/>
          <w:sz w:val="22"/>
          <w:szCs w:val="22"/>
        </w:rPr>
        <w:t xml:space="preserve"> (Hillman &amp; Suzuki, 2004). </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can become waterborne and spread through water. Wind, rain, as well as mammals and birds that come into contact with the spores can passively disseminate these across large areas. Although insect vectors are not thought to play a very important role in the transmission of the disease, it is noteworthy that chestnut blight cankers have a very large and diverse fauna. In trapping experiments in the USA, 495 insect species were captured on old blight cankers. A considerable number of insects spent parts of their life cycle on cankers and nearly 69 species were found to carry inoculum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(Russin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For additional information see Anderson and Rankin (1914), Boyce (1961), Darpoux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DePalma (1981) and Rigling &amp; Prospero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may enlarge so rapidly that the stem becomes girdled without callus formation. Callusing may occur, as a healing phenomenon, temporarily limiting fungal spread. Regions above the point of invasion die; the leaves wilt and turn brown but remain hanging on the tree. At this stage, chestnut blight is easily confused with ink disease (caused by </w:t>
      </w:r>
      <w:r>
        <w:rPr>
          <w:rFonts w:ascii="Calibri" w:hAnsi="Calibri" w:eastAsia="Calibri" w:cs="Calibri"/>
          <w:i/>
          <w:iCs/>
          <w:color w:val="000000"/>
          <w:sz w:val="22"/>
          <w:szCs w:val="22"/>
        </w:rPr>
        <w:t xml:space="preserve">Phytophthora cambivora</w:t>
      </w:r>
      <w:r>
        <w:rPr>
          <w:rFonts w:ascii="Calibri" w:hAnsi="Calibri" w:eastAsia="Calibri" w:cs="Calibri"/>
          <w:color w:val="000000"/>
          <w:sz w:val="22"/>
          <w:szCs w:val="22"/>
        </w:rPr>
        <w:t xml:space="preserve">). However,</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causes a definite canker or dead patch on the stem or trunk, below which the branches have healthy foliage; after a short time, adventitious shoot production is stimulated on the stem below this dead patch. With ink disease, on the other hand, the tree will be dead down to ground level and below.</w:t>
      </w:r>
    </w:p>
    <w:p>
      <w:pPr>
        <w:widowControl w:val="on"/>
        <w:pBdr/>
        <w:spacing w:before="220" w:after="220" w:line="240" w:lineRule="auto"/>
        <w:ind w:left="0" w:right="0"/>
        <w:jc w:val="both"/>
      </w:pPr>
      <w:r>
        <w:rPr>
          <w:rFonts w:ascii="Calibri" w:hAnsi="Calibri" w:eastAsia="Calibri" w:cs="Calibri"/>
          <w:color w:val="000000"/>
          <w:sz w:val="22"/>
          <w:szCs w:val="22"/>
        </w:rPr>
        <w:t xml:space="preserve">On young, smooth-barked branches, blight-infected patches are bright brown, in contrast to the olive-green colour of normal bark. On older stem infections, the discoloration is less obvious. When the cambium is killed rapidly a sunken area appears, but when disease progress is slowed down by unfavorable weather conditions new layers of bark form under the affected areas and there is a certain amount of swelling and subsequent cracking of the outer bark. Masses of yellow-orange to reddish-brown pustules, the size of a pin-head, develop on infected bark and exude long orange-yellow tendrils of spores in moist weather. Characteristic pale-brown mycelial fans form in the inner bark and may be exposed by cutting away the outer bark. For more information see Anderson &amp; Rankin (1914), Boyce (1961), Darpoux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Perithecia in clusters of 10-20. Ascospores hyaline, two-celled, constricted at the septum, 10 x 4 µm. Conidia exuded in yellowish tendrils, straight or slightly curved, hyaline, 2-3 x 1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all symptoms of infection occur above ground, visual examination and inspection is facilitated. Bark fissures and wounds in the bark should be monitored for the presence of fruit bodies of the fungus, i.e. perithecia. These will look like agglomerates of 1 mm masses of yellow-orange to reddish-brown pustules. </w:t>
      </w:r>
    </w:p>
    <w:p>
      <w:pPr>
        <w:widowControl w:val="on"/>
        <w:pBdr/>
        <w:spacing w:before="220" w:after="220" w:line="240" w:lineRule="auto"/>
        <w:ind w:left="0" w:right="0"/>
        <w:jc w:val="both"/>
      </w:pPr>
      <w:r>
        <w:rPr>
          <w:rFonts w:ascii="Calibri" w:hAnsi="Calibri" w:eastAsia="Calibri" w:cs="Calibri"/>
          <w:color w:val="000000"/>
          <w:sz w:val="22"/>
          <w:szCs w:val="22"/>
        </w:rPr>
        <w:t xml:space="preserve">Graft spots are common entry points for spores of the pathogen. Cambium under the infected bark may quickly appear sunken or swollen. Orange discoloration of infected stems or the main trunk can occur. Above these areas leaves wilt. Below the canker leaves may look healthy. When the tissue of the bark is killed quickly, callus will not show, however if the progression of the canker is slow (depending on weather conditions), the tree will produce new layers of bark under the affected area and cracking and new vertical fissures might be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pale white-brownish mycelial fans in the inner bark is a common sign of the disease. These are easily found in spots where the bark seems to be swollen or peeling off. The bark is easily removed to confirm the presence of mycelia.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methods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from tissue samples such as the inner and outer bark of plants can be carried out using molecular methods, e.g. real-time PCR, which provides a rapid and accurate detection even with low fungal loads (Chandelier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Morphological identification following culturing on PDA medium (Potato Dextrose Agar) allows for visual differentiation of virulent and hypovirulent strains. Virulent, virus free strains, exhibit initial white mycelium growth which quickly pigments to orange-yellow, producing many visible pin-head sized globose red-orange asexual spores (pycnidia) scattered in the culture, when exposed to light. In hypovirulent strains containing the CHV-1 virus the mycelium remains white and the production of pycnidia is very low or absent. Confirmation of CHV-1 in cultures is also done by RT-PCR and sequencing using established protocols for RNA purification and complementary DNA sequencing (Rigling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Hypovirus transmission can be easily assessed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by co-culturing pairs of hypovirus-infected and hypovirus-free strains on PDA. Compatible strains will merge into a single mycelium culture, whereas a barrier will form between incompatible strains. The resulting orange (virus free) or white (virus infected) morphology of an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culture following this assay enables the visual assessment of hypovirus transmission success (Cortesi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Rigling and Prospero,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Recommendations on the morphological identification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are provided in the EPPO Diagnostic protocol (EPPO, 2005). This protocol is currently under revision to include molecular identification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fungal spores is ensured by wind and rain, as well as by indirect vectors such as birds, mammals and insects. Pruning tools can be a source for contamination and spread if not sterilized. In international trade, the fungus may be carried by host plants for planting traded for forestry or ornamental purposes, or on wood or bark (including wood chips with bark fragments). There is a small risk of transmission by fruits or seeds, but as the colonization rate by the fungus is low and traded nuts do not enter into contact with orchards, this pathway is considered to be of minor importance (EFSA,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1904 and 1950,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caused almost complete destruction of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in the Eastern USA (Hepting, 1974). There has also been extensive spread on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in Europe from Italy throughout most Europe since 1938. For an historical depiction of the spread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in Europe consult Robin and Heiniger (2001). Evidence indicates that the pathogen behaves less virulently in Europe than in the USA; new and healthy coppice shoots arising from stumps originally attacked indicate recovery from the disease. This has been explained by the occurrence in Europe of hypovirulent strains which are vegetatively compatible with virulent strains (Milgroom &amp; Cortesi, </w:t>
      </w:r>
      <w:hyperlink r:id="rId211466980e9492452" w:history="1">
        <w:r>
          <w:rPr>
            <w:rFonts w:ascii="Calibri" w:hAnsi="Calibri" w:eastAsia="Calibri" w:cs="Calibri"/>
            <w:color w:val="0000CC"/>
            <w:sz w:val="22"/>
            <w:szCs w:val="22"/>
            <w:u w:val="single"/>
          </w:rPr>
          <w:t xml:space="preserve">2004</w:t>
        </w:r>
      </w:hyperlink>
      <w:r>
        <w:rPr>
          <w:rFonts w:ascii="Calibri" w:hAnsi="Calibri" w:eastAsia="Calibri" w:cs="Calibri"/>
          <w:color w:val="000000"/>
          <w:sz w:val="22"/>
          <w:szCs w:val="22"/>
        </w:rPr>
        <w:t xml:space="preserve">; Rigling &amp; Prospero,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indigenous on species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in China and Japan where it does not have significant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naturally occurring or artificially inoculated hypovirulent strains offers good prospects for control (Milgroom &amp; Cortesi, 2004; Rigling &amp; Prospero, 2018). The application of hypovirulent strains around developing lesions may enable these lesions to recover and can convert the virulent strain into a hypovirulent strain (Grente, 1981). Hypovirulence is effective as a biocontrol strategy when a large proportion of the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population is infected by the virus. Hypovirulence is transmitted by hyphal fusion (anastomosis) to virulent strains of the same vegetative compatibility (vc) type (Anagnostakis &amp; Waggoner, 1981; Robin and Heiniger, 2001). However, strains of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may show vegetative incompatibility, i.e. inability to achieve hyphal anastomoses and viral transmission (Anagnostakis, 1977; Milgroom &amp; Cortesi, 2004). Virus transmission between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strains is primarily controlled by vegetative incompatibility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genes. Six vegetative incompatible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have been identified in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each with two alleles (Cortesi &amp; Milgroom, 1998). If isolates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share the same alleles at the six </w:t>
      </w:r>
      <w:r>
        <w:rPr>
          <w:rFonts w:ascii="Calibri" w:hAnsi="Calibri" w:eastAsia="Calibri" w:cs="Calibri"/>
          <w:i/>
          <w:iCs/>
          <w:color w:val="000000"/>
          <w:sz w:val="22"/>
          <w:szCs w:val="22"/>
        </w:rPr>
        <w:t xml:space="preserve">vic </w:t>
      </w:r>
      <w:r>
        <w:rPr>
          <w:rFonts w:ascii="Calibri" w:hAnsi="Calibri" w:eastAsia="Calibri" w:cs="Calibri"/>
          <w:color w:val="000000"/>
          <w:sz w:val="22"/>
          <w:szCs w:val="22"/>
        </w:rPr>
        <w:t xml:space="preserve">loci, viral transmission can reach 100%. Variable biocontrol results have been achieved in different parts of the globe using hypovirulent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main mycovirus responsible for hypovirulence, CHV-1, occurs naturally. A lower expression of incompatible loci (heteroallelism) within a restricted but widely distributed number of European vc strains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allows for frequent and successful transmission of CHV-1 between infected and non-infected strains (Heiniger and Rigling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1994;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Although hypovirulence is widespread in most areas of the EPPO region where</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is found (Bryner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level of incidence varies between populations of the fungus (Heiniger &amp; Rigling, 1994). Over 40 vc types were found in France in 2001, and subsequently expanded to 61 vc types, whereas in some countries only 9 vc types have been identified (Portugal), and in Turkey only one (Robin &amp; Heiniger, 2001;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Incidence can be very low such as in North-Western Spain with only 3% of the trees infected by hypovirulent strains (Tizado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a rule, in Europe, vc type diversity at a local or regional scale is low and comprising one or few dominant vc types which favors compatibility and hence transmission of hypovirulence (Robin &amp; Heiniger,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situation is very different to the one in Europe. Mycovirus CHV‐1 does not occur naturally in North America and artificial inoculations with European strains infected by the virus have not been effective at large scale due to the large number of incompatible vc types. Anagnostakis &amp; Kratz (1987) found a total of 48 vc types just within a small forest plot in Connecticut. Similar patterns were found in other regions of the USA. It has been hypothesized that the vegetative incompatible chromosome loci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controlling compatibility of hyphae during anastomosis, could be polymorphic in North America, or multiple alleles might occur in the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of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in this region of the globe.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promising, the use of hypovirulent strains is often limited by reduced competitiveness of hypovirulent mycovirus strains due to their reduced growth and sporulation as well as the lack of transmission into sexual spores of the fungus (Pearson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Other strategies have been pursued in an attempt to halt the spread of the disease. Considerable effort was made in the USA towards breeding disease-resistant hybrid chestnuts by making use of the more resistant Asian species. These unfortunately were unsuccessful (Burnham, 1986). More recently, spread of hypovirulent strains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grafted American chestnut trees inoculated with hypovirus of European origin were detected in trees exhibiting a high level of blight control (Robbins &amp; Griffin,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an extensive selection program was started in the 1950s to select blight-resistant chestnut cultivars. After over 30 years of research, several clones were found which showed some degree of resistance, but the differences between resistant and susceptible chestnuts seem to be subtle (Bazzigher &amp; Miller, 1991). Chestnut hybrid’s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resistance to different levels of blight has been recently assessed in Slovakia (Bolvanský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Romania (Chira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with promising results. However, no trees have been produced which could be planted with confidence to replace present chestnut stands, and it appears unlikely that such a replacement is a practical possibility at the present time.</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may be transmitted by grafting, the use of wax and fungicides to protect grafts has been investigated (Turchetti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some areas are still free from the disease, in particular in the northern part. Spread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from the southern part of the EPPO region into more northern areas could cause considerable losses. Since the occurrence of relatively low strain variability has limited the losses in infected areas, the introduction of new strains might disturb the European balance between virulent and hypovirulent strains and could have a devastating effect on the remaining chestnut areas of Southern Europe. In a risk assessment study, it was considered that the risk of new introductions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within the European Union territory was still relatively high (EFSA, 2014,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entry or spread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plants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intended for planting, other than seeds, should be free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and originate either from a Pest Free Area, or from a place of production where no signs and/or symptoms of the pathogen have been observed in the last growing season. Wood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imported from areas where the disease occurs, should also come from areas known to be free of the pathogen or should be debarked or heat treated (e.g. kiln-drying). Isolated bark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should also originate in areas known to be free from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(EPPO, 2017 a,b). The implementation of certification schemes for the production of healthy planting material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could help in reducing the risk of spreading the disease (EFSA,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existence of a latent period between the time of infection and the emergence of symptoms is a problem for timely detection and eradication, especially for nursery plants imported from regions outside Pest Free Areas. A latent period of six months between the time of infection and the emergence of symptoms has been previously reported in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(Guerin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there is an example of plants imported from France into Australia that started to show symptoms only 16 months after import (Cunnington &amp; Pascoe, 2003). Post-entry quarantine measures for plant material derived from regions or countries outside Pest Free Areas should therefore take this fact into account.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(1977) Vegetative incompatibility in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306-316.</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&amp; Waggoner PE (1981) Hypovirulence, vegetative incompatibility and the growth of cankers of chestnut blight.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1198-1202.</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&amp; Kranz J (1987) Population dynamics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a mixed-hardwood forest in Connecticut.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751–754.</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(1987) Chestnut blight: the classical problem of an introduced pathogen.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23–37.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PJ &amp; Rankin WH (1914) </w:t>
      </w:r>
      <w:r>
        <w:rPr>
          <w:rFonts w:ascii="Calibri" w:hAnsi="Calibri" w:eastAsia="Calibri" w:cs="Calibri"/>
          <w:i/>
          <w:iCs/>
          <w:color w:val="000000"/>
          <w:sz w:val="22"/>
          <w:szCs w:val="22"/>
        </w:rPr>
        <w:t xml:space="preserve">Endothia</w:t>
      </w:r>
      <w:r>
        <w:rPr>
          <w:rFonts w:ascii="Calibri" w:hAnsi="Calibri" w:eastAsia="Calibri" w:cs="Calibri"/>
          <w:color w:val="000000"/>
          <w:sz w:val="22"/>
          <w:szCs w:val="22"/>
        </w:rPr>
        <w:t xml:space="preserve"> canker of chestnut. </w:t>
      </w:r>
      <w:r>
        <w:rPr>
          <w:rFonts w:ascii="Calibri" w:hAnsi="Calibri" w:eastAsia="Calibri" w:cs="Calibri"/>
          <w:i/>
          <w:iCs/>
          <w:color w:val="000000"/>
          <w:sz w:val="22"/>
          <w:szCs w:val="22"/>
        </w:rPr>
        <w:t xml:space="preserve">Cornell University Agricultural Experiment Station Bulletin</w:t>
      </w:r>
      <w:r>
        <w:rPr>
          <w:rFonts w:ascii="Calibri" w:hAnsi="Calibri" w:eastAsia="Calibri" w:cs="Calibri"/>
          <w:color w:val="000000"/>
          <w:sz w:val="22"/>
          <w:szCs w:val="22"/>
        </w:rPr>
        <w:t xml:space="preserve"> No. 347.</w:t>
      </w:r>
    </w:p>
    <w:p>
      <w:pPr>
        <w:widowControl w:val="on"/>
        <w:pBdr/>
        <w:spacing w:before="220" w:after="220" w:line="240" w:lineRule="auto"/>
        <w:ind w:left="0" w:right="0"/>
        <w:jc w:val="left"/>
      </w:pPr>
      <w:r>
        <w:rPr>
          <w:rFonts w:ascii="Calibri" w:hAnsi="Calibri" w:eastAsia="Calibri" w:cs="Calibri"/>
          <w:color w:val="000000"/>
          <w:sz w:val="22"/>
          <w:szCs w:val="22"/>
        </w:rPr>
        <w:t xml:space="preserve">Bazzigher G &amp; Miller GA (1991) Blight-resistant chestnut selections of Switzerland: a valuable germ plasm resource.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Bolvanský M, Pažitný J &amp; Adamčíková K (2018) Grading of blight resistance in different chestnut accessions.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JS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572 pp. McGraw-Hill Book Company,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Simões S, Onofre N, Tenreiro R &amp; Rigling D (2007)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Portugal: diversity of vegetative compatibility types, mating types, and occurrence of hypovirulence.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391-402.</w:t>
      </w:r>
    </w:p>
    <w:p>
      <w:pPr>
        <w:widowControl w:val="on"/>
        <w:pBdr/>
        <w:spacing w:before="220" w:after="220" w:line="240" w:lineRule="auto"/>
        <w:ind w:left="0" w:right="0"/>
        <w:jc w:val="left"/>
      </w:pPr>
      <w:r>
        <w:rPr>
          <w:rFonts w:ascii="Calibri" w:hAnsi="Calibri" w:eastAsia="Calibri" w:cs="Calibri"/>
          <w:color w:val="000000"/>
          <w:sz w:val="22"/>
          <w:szCs w:val="22"/>
        </w:rPr>
        <w:t xml:space="preserve">Bryner SF, Rigling D &amp; Brunner PC (2012) Invasion history and demographic pattern of Cryphonectria hypovirus 1 across European populations of the chestnut blight fungus.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(12), 3227–3241.</w:t>
      </w:r>
    </w:p>
    <w:p>
      <w:pPr>
        <w:widowControl w:val="on"/>
        <w:pBdr/>
        <w:spacing w:before="220" w:after="220" w:line="240" w:lineRule="auto"/>
        <w:ind w:left="0" w:right="0"/>
        <w:jc w:val="left"/>
      </w:pPr>
      <w:r>
        <w:rPr>
          <w:rFonts w:ascii="Calibri" w:hAnsi="Calibri" w:eastAsia="Calibri" w:cs="Calibri"/>
          <w:color w:val="000000"/>
          <w:sz w:val="22"/>
          <w:szCs w:val="22"/>
        </w:rPr>
        <w:t xml:space="preserve">Burnham CR, Rutter PA &amp; French DW (1986) Breeding blight-resistant chestnuts.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4, 347-397.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Chandelier A, Massot M, Fabreguettes O, Gischer F, Teng F, Robin C (2019) Early detection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by real-time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29-46.</w:t>
      </w:r>
    </w:p>
    <w:p>
      <w:pPr>
        <w:widowControl w:val="on"/>
        <w:pBdr/>
        <w:spacing w:before="220" w:after="220" w:line="240" w:lineRule="auto"/>
        <w:ind w:left="0" w:right="0"/>
        <w:jc w:val="left"/>
      </w:pPr>
      <w:r>
        <w:rPr>
          <w:rFonts w:ascii="Calibri" w:hAnsi="Calibri" w:eastAsia="Calibri" w:cs="Calibri"/>
          <w:color w:val="000000"/>
          <w:sz w:val="22"/>
          <w:szCs w:val="22"/>
        </w:rPr>
        <w:t xml:space="preserve">Chira D, Teodorescu R, Mantale C, Chira F, Isaia G, Achim G, Scutelnicu A, Botu M (2018) Testing chestnut hybrids for resistance to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113-120</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Heiniger U, Rigling D (2006) Saprophytic activity and sporulation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dead chestnut wood in forests with naturally established hypovirulence.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1337-1344.</w:t>
      </w:r>
    </w:p>
    <w:p>
      <w:pPr>
        <w:widowControl w:val="on"/>
        <w:pBdr/>
        <w:spacing w:before="220" w:after="220" w:line="240" w:lineRule="auto"/>
        <w:ind w:left="0" w:right="0"/>
        <w:jc w:val="left"/>
      </w:pPr>
      <w:r>
        <w:rPr>
          <w:rFonts w:ascii="Calibri" w:hAnsi="Calibri" w:eastAsia="Calibri" w:cs="Calibri"/>
          <w:color w:val="000000"/>
          <w:sz w:val="22"/>
          <w:szCs w:val="22"/>
        </w:rPr>
        <w:t xml:space="preserve">Cortesi P &amp; Milgroom MG (1998) Genetics of vegetative incompatibility in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2988-2994.</w:t>
      </w:r>
    </w:p>
    <w:p>
      <w:pPr>
        <w:widowControl w:val="on"/>
        <w:pBdr/>
        <w:spacing w:before="220" w:after="220" w:line="240" w:lineRule="auto"/>
        <w:ind w:left="0" w:right="0"/>
        <w:jc w:val="left"/>
      </w:pPr>
      <w:r>
        <w:rPr>
          <w:rFonts w:ascii="Calibri" w:hAnsi="Calibri" w:eastAsia="Calibri" w:cs="Calibri"/>
          <w:color w:val="000000"/>
          <w:sz w:val="22"/>
          <w:szCs w:val="22"/>
        </w:rPr>
        <w:t xml:space="preserve">Cortesi P, McCulloch CE, Song H, Lin H &amp; Milgroom MG (2001) Genetic control of horizontal virus transmission in the chestnut blight fungus,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(1), 107-118.</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Cunnington JH &amp; Pascoe IG (2003) Post entry quarantine interception of chestnut blight in Victoria. </w:t>
      </w:r>
      <w:r>
        <w:rPr>
          <w:rFonts w:ascii="Calibri" w:hAnsi="Calibri" w:eastAsia="Calibri" w:cs="Calibri"/>
          <w:i/>
          <w:iCs/>
          <w:color w:val="000000"/>
          <w:sz w:val="22"/>
          <w:szCs w:val="22"/>
        </w:rPr>
        <w:t xml:space="preserve">Australasian Plant 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569-570.</w:t>
      </w:r>
    </w:p>
    <w:p>
      <w:pPr>
        <w:widowControl w:val="on"/>
        <w:pBdr/>
        <w:spacing w:before="220" w:after="220" w:line="240" w:lineRule="auto"/>
        <w:ind w:left="0" w:right="0"/>
        <w:jc w:val="left"/>
      </w:pPr>
      <w:r>
        <w:rPr>
          <w:rFonts w:ascii="Calibri" w:hAnsi="Calibri" w:eastAsia="Calibri" w:cs="Calibri"/>
          <w:color w:val="000000"/>
          <w:sz w:val="22"/>
          <w:szCs w:val="22"/>
        </w:rPr>
        <w:t xml:space="preserve">Darpoux H, Ride M, Bondoux P (1975) Apparition de foyers d'</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sur châtaigniers en France. </w:t>
      </w:r>
      <w:r>
        <w:rPr>
          <w:rFonts w:ascii="Calibri" w:hAnsi="Calibri" w:eastAsia="Calibri" w:cs="Calibri"/>
          <w:i/>
          <w:iCs/>
          <w:color w:val="000000"/>
          <w:sz w:val="22"/>
          <w:szCs w:val="22"/>
        </w:rPr>
        <w:t xml:space="preserve">Comptes Rendus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670-674.</w:t>
      </w:r>
    </w:p>
    <w:p>
      <w:pPr>
        <w:widowControl w:val="on"/>
        <w:pBdr/>
        <w:spacing w:before="220" w:after="220" w:line="240" w:lineRule="auto"/>
        <w:ind w:left="0" w:right="0"/>
        <w:jc w:val="left"/>
      </w:pPr>
      <w:r>
        <w:rPr>
          <w:rFonts w:ascii="Calibri" w:hAnsi="Calibri" w:eastAsia="Calibri" w:cs="Calibri"/>
          <w:color w:val="000000"/>
          <w:sz w:val="22"/>
          <w:szCs w:val="22"/>
        </w:rPr>
        <w:t xml:space="preserve">DePalma NK (1981) Dissemination of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by birds and small mammals. USFS American Chestnut Cooperators Meeting General Technical Report NE64.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(Murrill) Barr. EFSA Panel on Plant Health (PLH).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 3859. 42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(2016) Risk assessment and reduction options for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the 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(12), e04641. 54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Diagnostics PM 7/45 </w:t>
      </w:r>
      <w:r>
        <w:rPr>
          <w:rFonts w:ascii="Calibri" w:hAnsi="Calibri" w:eastAsia="Calibri" w:cs="Calibri"/>
          <w:i/>
          <w:iCs/>
          <w:color w:val="000000"/>
          <w:sz w:val="22"/>
          <w:szCs w:val="22"/>
        </w:rPr>
        <w:t xml:space="preserve">Cryphonectria parasitica.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Commodity-specific phytosanitary measures. PM 8/4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Commodity-specific phytosanitary measures.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Forest Services UK (2019) Sweet chestnut blight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hyperlink r:id="rId318266980e949360e" w:history="1">
        <w:r>
          <w:rPr>
            <w:rFonts w:ascii="Calibri" w:hAnsi="Calibri" w:eastAsia="Calibri" w:cs="Calibri"/>
            <w:color w:val="0000CC"/>
            <w:sz w:val="22"/>
            <w:szCs w:val="22"/>
            <w:u w:val="single"/>
          </w:rPr>
          <w:t xml:space="preserve">https://www.forestresearch.gov.uk/tools-and-resources/pest-and-disease-resources/sweet-chestnut-blight-cryphonectria-parasitica/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Grente MJ (1981) </w:t>
      </w:r>
      <w:r>
        <w:rPr>
          <w:rFonts w:ascii="Calibri" w:hAnsi="Calibri" w:eastAsia="Calibri" w:cs="Calibri"/>
          <w:i/>
          <w:iCs/>
          <w:color w:val="000000"/>
          <w:sz w:val="22"/>
          <w:szCs w:val="22"/>
        </w:rPr>
        <w:t xml:space="preserve">Les variants hypovirulents de l'</w:t>
      </w:r>
      <w:r>
        <w:rPr>
          <w:rFonts w:ascii="Calibri" w:hAnsi="Calibri" w:eastAsia="Calibri" w:cs="Calibri"/>
          <w:color w:val="000000"/>
          <w:sz w:val="22"/>
          <w:szCs w:val="22"/>
        </w:rPr>
        <w:t xml:space="preserve">Endothia parasitica </w:t>
      </w:r>
      <w:r>
        <w:rPr>
          <w:rFonts w:ascii="Calibri" w:hAnsi="Calibri" w:eastAsia="Calibri" w:cs="Calibri"/>
          <w:i/>
          <w:iCs/>
          <w:color w:val="000000"/>
          <w:sz w:val="22"/>
          <w:szCs w:val="22"/>
        </w:rPr>
        <w:t xml:space="preserve">et la lutte biologique contre le chancre châtaignier</w:t>
      </w:r>
      <w:r>
        <w:rPr>
          <w:rFonts w:ascii="Calibri" w:hAnsi="Calibri" w:eastAsia="Calibri" w:cs="Calibri"/>
          <w:color w:val="000000"/>
          <w:sz w:val="22"/>
          <w:szCs w:val="22"/>
        </w:rPr>
        <w:t xml:space="preserve">, 194 pp. Institut National de Recherche Agronomique, Rennes Cedex,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Hillman BI &amp; Suzuki N (2004) Viruses of the chestnut blight fungus,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423-72.</w:t>
      </w:r>
    </w:p>
    <w:p>
      <w:pPr>
        <w:widowControl w:val="on"/>
        <w:pBdr/>
        <w:spacing w:before="220" w:after="220" w:line="240" w:lineRule="auto"/>
        <w:ind w:left="0" w:right="0"/>
        <w:jc w:val="left"/>
      </w:pPr>
      <w:r>
        <w:rPr>
          <w:rFonts w:ascii="Calibri" w:hAnsi="Calibri" w:eastAsia="Calibri" w:cs="Calibri"/>
          <w:color w:val="000000"/>
          <w:sz w:val="22"/>
          <w:szCs w:val="22"/>
        </w:rPr>
        <w:t xml:space="preserve">Heiniger U &amp; Rigling D (1994) Biological control of chestnut blight in Europe.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581–599.</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(1974) Death of the American chestnut. </w:t>
      </w:r>
      <w:r>
        <w:rPr>
          <w:rFonts w:ascii="Calibri" w:hAnsi="Calibri" w:eastAsia="Calibri" w:cs="Calibri"/>
          <w:i/>
          <w:iCs/>
          <w:color w:val="000000"/>
          <w:sz w:val="22"/>
          <w:szCs w:val="22"/>
        </w:rPr>
        <w:t xml:space="preserve">Journal of Forest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Jaynes RA (1976) Biological control of blight may revive the chestnut. </w:t>
      </w:r>
      <w:r>
        <w:rPr>
          <w:rFonts w:ascii="Calibri" w:hAnsi="Calibri" w:eastAsia="Calibri" w:cs="Calibri"/>
          <w:i/>
          <w:iCs/>
          <w:color w:val="000000"/>
          <w:sz w:val="22"/>
          <w:szCs w:val="22"/>
        </w:rPr>
        <w:t xml:space="preserve">Frontiers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Jaynes RA &amp; DePalma NK (1984) Natural infection of nuts of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296-299.</w:t>
      </w:r>
    </w:p>
    <w:p>
      <w:pPr>
        <w:widowControl w:val="on"/>
        <w:pBdr/>
        <w:spacing w:before="220" w:after="220" w:line="240" w:lineRule="auto"/>
        <w:ind w:left="0" w:right="0"/>
        <w:jc w:val="left"/>
      </w:pPr>
      <w:r>
        <w:rPr>
          <w:rFonts w:ascii="Calibri" w:hAnsi="Calibri" w:eastAsia="Calibri" w:cs="Calibri"/>
          <w:color w:val="000000"/>
          <w:sz w:val="22"/>
          <w:szCs w:val="22"/>
        </w:rPr>
        <w:t xml:space="preserve">Meyer JB, Gallien L, Prospero S (2015) Interaction between two invasive organisms on the European chestnut: does the chestnut blight fungus benefit from the presence of the gall wasp? </w:t>
      </w:r>
      <w:r>
        <w:rPr>
          <w:rFonts w:ascii="Calibri" w:hAnsi="Calibri" w:eastAsia="Calibri" w:cs="Calibri"/>
          <w:i/>
          <w:iCs/>
          <w:color w:val="000000"/>
          <w:sz w:val="22"/>
          <w:szCs w:val="22"/>
        </w:rPr>
        <w:t xml:space="preserve">FEMS Microbiology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(11), fiv122.</w:t>
      </w:r>
    </w:p>
    <w:p>
      <w:pPr>
        <w:widowControl w:val="on"/>
        <w:pBdr/>
        <w:spacing w:before="220" w:after="220" w:line="240" w:lineRule="auto"/>
        <w:ind w:left="0" w:right="0"/>
        <w:jc w:val="left"/>
      </w:pPr>
      <w:r>
        <w:rPr>
          <w:rFonts w:ascii="Calibri" w:hAnsi="Calibri" w:eastAsia="Calibri" w:cs="Calibri"/>
          <w:color w:val="000000"/>
          <w:sz w:val="22"/>
          <w:szCs w:val="22"/>
        </w:rPr>
        <w:t xml:space="preserve">Milgroom MG &amp; Cortesi P (2004) Biological control of chestnut blight with hypovirulence: a critical analysis.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311-338.</w:t>
      </w:r>
    </w:p>
    <w:p>
      <w:pPr>
        <w:widowControl w:val="on"/>
        <w:pBdr/>
        <w:spacing w:before="220" w:after="220" w:line="240" w:lineRule="auto"/>
        <w:ind w:left="0" w:right="0"/>
        <w:jc w:val="left"/>
      </w:pPr>
      <w:r>
        <w:rPr>
          <w:rFonts w:ascii="Calibri" w:hAnsi="Calibri" w:eastAsia="Calibri" w:cs="Calibri"/>
          <w:color w:val="000000"/>
          <w:sz w:val="22"/>
          <w:szCs w:val="22"/>
        </w:rPr>
        <w:t xml:space="preserve">Pearson MN, Beever RE, Boine B &amp; Arthur K (2009) Mycoviruses of filamentous fungi and their relevance to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115–128.</w:t>
      </w:r>
    </w:p>
    <w:p>
      <w:pPr>
        <w:widowControl w:val="on"/>
        <w:pBdr/>
        <w:spacing w:before="220" w:after="220" w:line="240" w:lineRule="auto"/>
        <w:ind w:left="0" w:right="0"/>
        <w:jc w:val="left"/>
      </w:pPr>
      <w:r>
        <w:rPr>
          <w:rFonts w:ascii="Calibri" w:hAnsi="Calibri" w:eastAsia="Calibri" w:cs="Calibri"/>
          <w:color w:val="000000"/>
          <w:sz w:val="22"/>
          <w:szCs w:val="22"/>
        </w:rPr>
        <w:t xml:space="preserve">Peever TL, Liu YC, Cortesi P &amp; Milgroom MG (2000) Variation in tolerance and virulence in the chestnut blight fungus-hypovirus interaction.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 4863-4869.</w:t>
      </w:r>
    </w:p>
    <w:p>
      <w:pPr>
        <w:widowControl w:val="on"/>
        <w:pBdr/>
        <w:spacing w:before="220" w:after="220" w:line="240" w:lineRule="auto"/>
        <w:ind w:left="0" w:right="0"/>
        <w:jc w:val="left"/>
      </w:pPr>
      <w:r>
        <w:rPr>
          <w:rFonts w:ascii="Calibri" w:hAnsi="Calibri" w:eastAsia="Calibri" w:cs="Calibri"/>
          <w:color w:val="000000"/>
          <w:sz w:val="22"/>
          <w:szCs w:val="22"/>
        </w:rPr>
        <w:t xml:space="preserve">Prospero S, Conedera M, Heiniger U, Rigling D (2006) Saprophytic activity and sporulation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dead chestnut wood in forests with naturally established hypovirulence.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1337-1344.</w:t>
      </w:r>
    </w:p>
    <w:p>
      <w:pPr>
        <w:widowControl w:val="on"/>
        <w:pBdr/>
        <w:spacing w:before="220" w:after="220" w:line="240" w:lineRule="auto"/>
        <w:ind w:left="0" w:right="0"/>
        <w:jc w:val="left"/>
      </w:pPr>
      <w:r>
        <w:rPr>
          <w:rFonts w:ascii="Calibri" w:hAnsi="Calibri" w:eastAsia="Calibri" w:cs="Calibri"/>
          <w:color w:val="000000"/>
          <w:sz w:val="22"/>
          <w:szCs w:val="22"/>
        </w:rPr>
        <w:t xml:space="preserve">Rigling D, Borst N, Cornejo C, Supatashvili A &amp; Prospero S (2018) Genetic and phenotypic characterization of Cryphonectria hypovirus 1 from Eurasian Georgia.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687. </w:t>
      </w:r>
      <w:hyperlink r:id="rId986866980e9493b19" w:history="1">
        <w:r>
          <w:rPr>
            <w:rFonts w:ascii="Calibri" w:hAnsi="Calibri" w:eastAsia="Calibri" w:cs="Calibri"/>
            <w:color w:val="0000CC"/>
            <w:sz w:val="22"/>
            <w:szCs w:val="22"/>
            <w:u w:val="single"/>
          </w:rPr>
          <w:t xml:space="preserve">https://doi.org/10.3390/v10120687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Rigling D &amp; Prospero S (2018)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the causal agent of chestnut blight: invasion history, population biology and disease control.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7-20.</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N &amp; Griffin J (2008) Spread of white hypovirulent strains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grafted American chestnut trees exhibiting a high level of blight control.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51-64.</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&amp; Heiniger U (2001) Chestnut blight in Europe: Diversity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hypovirulence and biocontrol. </w:t>
      </w:r>
      <w:r>
        <w:rPr>
          <w:rFonts w:ascii="Calibri" w:hAnsi="Calibri" w:eastAsia="Calibri" w:cs="Calibri"/>
          <w:i/>
          <w:iCs/>
          <w:color w:val="000000"/>
          <w:sz w:val="22"/>
          <w:szCs w:val="22"/>
        </w:rPr>
        <w:t xml:space="preserve">Forest Snow and Landscape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Capdevielle X, Martin M, Traver C &amp; Colinas C (2009)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vegetative compatibility type analysis of populations in south-western France and northern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527-535.</w:t>
      </w:r>
    </w:p>
    <w:p>
      <w:pPr>
        <w:widowControl w:val="on"/>
        <w:pBdr/>
        <w:spacing w:before="220" w:after="220" w:line="240" w:lineRule="auto"/>
        <w:ind w:left="0" w:right="0"/>
        <w:jc w:val="left"/>
      </w:pPr>
      <w:r>
        <w:rPr>
          <w:rFonts w:ascii="Calibri" w:hAnsi="Calibri" w:eastAsia="Calibri" w:cs="Calibri"/>
          <w:color w:val="000000"/>
          <w:sz w:val="22"/>
          <w:szCs w:val="22"/>
        </w:rPr>
        <w:t xml:space="preserve">Rubio S, Barnes A, Webb K, Hodgetts J (2017) A real‐time PCR assay for improved rapid, specific detection of </w:t>
      </w:r>
      <w:r>
        <w:rPr>
          <w:rFonts w:ascii="Calibri" w:hAnsi="Calibri" w:eastAsia="Calibri" w:cs="Calibri"/>
          <w:i/>
          <w:iCs/>
          <w:color w:val="000000"/>
          <w:sz w:val="22"/>
          <w:szCs w:val="22"/>
        </w:rPr>
        <w:t xml:space="preserve">Cryphonectria parasitica.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(1), 52-61.</w:t>
      </w:r>
    </w:p>
    <w:p>
      <w:pPr>
        <w:widowControl w:val="on"/>
        <w:pBdr/>
        <w:spacing w:before="220" w:after="220" w:line="240" w:lineRule="auto"/>
        <w:ind w:left="0" w:right="0"/>
        <w:jc w:val="left"/>
      </w:pPr>
      <w:r>
        <w:rPr>
          <w:rFonts w:ascii="Calibri" w:hAnsi="Calibri" w:eastAsia="Calibri" w:cs="Calibri"/>
          <w:color w:val="000000"/>
          <w:sz w:val="22"/>
          <w:szCs w:val="22"/>
        </w:rPr>
        <w:t xml:space="preserve">Russin JS, Shain L &amp; Nordin GL (1984) Insects as carriers of virulent and cytoplasmatic hypovirulent isolates of the chestnut blight fungus.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838-846.</w:t>
      </w:r>
    </w:p>
    <w:p>
      <w:pPr>
        <w:widowControl w:val="on"/>
        <w:pBdr/>
        <w:spacing w:before="220" w:after="220" w:line="240" w:lineRule="auto"/>
        <w:ind w:left="0" w:right="0"/>
        <w:jc w:val="left"/>
      </w:pPr>
      <w:r>
        <w:rPr>
          <w:rFonts w:ascii="Calibri" w:hAnsi="Calibri" w:eastAsia="Calibri" w:cs="Calibri"/>
          <w:color w:val="000000"/>
          <w:sz w:val="22"/>
          <w:szCs w:val="22"/>
        </w:rPr>
        <w:t xml:space="preserve">Tizado EJ, Terron A &amp; Núñez‐Pérez E (2012) A methodology to evaluate disease severity: a case study of chestnut blight in El Bierzo region (northwestern Spain).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81-90.</w:t>
      </w:r>
    </w:p>
    <w:p>
      <w:pPr>
        <w:widowControl w:val="on"/>
        <w:pBdr/>
        <w:spacing w:before="220" w:after="220" w:line="240" w:lineRule="auto"/>
        <w:ind w:left="0" w:right="0"/>
        <w:jc w:val="left"/>
      </w:pPr>
      <w:r>
        <w:rPr>
          <w:rFonts w:ascii="Calibri" w:hAnsi="Calibri" w:eastAsia="Calibri" w:cs="Calibri"/>
          <w:color w:val="000000"/>
          <w:sz w:val="22"/>
          <w:szCs w:val="22"/>
        </w:rPr>
        <w:t xml:space="preserve">Turchetti T, Fuitem A &amp; Gemignani P (1981) Preliminary canker experiments on the protection of sweet chestnut grafts from bark canker. </w:t>
      </w:r>
      <w:r>
        <w:rPr>
          <w:rFonts w:ascii="Calibri" w:hAnsi="Calibri" w:eastAsia="Calibri" w:cs="Calibri"/>
          <w:i/>
          <w:iCs/>
          <w:color w:val="000000"/>
          <w:sz w:val="22"/>
          <w:szCs w:val="22"/>
        </w:rPr>
        <w:t xml:space="preserve">Esperienze e Ricerche, Stazione Sperimentale Agraria Forestale di S. Michele all'Adige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137-145.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Jose A. P. Marcelino, at the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EPPO datasheets on pests recommended for regulation. Available online. </w:t>
      </w:r>
      <w:hyperlink r:id="rId930766980e94940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Endothia parasitica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57-62.</w:t>
      </w:r>
    </w:p>
    <w:p>
      <w:r>
        <w:drawing>
          <wp:inline distT="0" distB="0" distL="0" distR="0">
            <wp:extent cx="0" cy="0"/>
            <wp:docPr id="73828656" name="name757366980e949444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4666980e9494442"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25587">
    <w:multiLevelType w:val="hybridMultilevel"/>
    <w:lvl w:ilvl="0" w:tplc="44051632">
      <w:start w:val="1"/>
      <w:numFmt w:val="decimal"/>
      <w:lvlText w:val="%1."/>
      <w:lvlJc w:val="left"/>
      <w:pPr>
        <w:ind w:left="720" w:hanging="360"/>
      </w:pPr>
    </w:lvl>
    <w:lvl w:ilvl="1" w:tplc="44051632" w:tentative="1">
      <w:start w:val="1"/>
      <w:numFmt w:val="lowerLetter"/>
      <w:lvlText w:val="%2."/>
      <w:lvlJc w:val="left"/>
      <w:pPr>
        <w:ind w:left="1440" w:hanging="360"/>
      </w:pPr>
    </w:lvl>
    <w:lvl w:ilvl="2" w:tplc="44051632" w:tentative="1">
      <w:start w:val="1"/>
      <w:numFmt w:val="lowerRoman"/>
      <w:lvlText w:val="%3."/>
      <w:lvlJc w:val="right"/>
      <w:pPr>
        <w:ind w:left="2160" w:hanging="180"/>
      </w:pPr>
    </w:lvl>
    <w:lvl w:ilvl="3" w:tplc="44051632" w:tentative="1">
      <w:start w:val="1"/>
      <w:numFmt w:val="decimal"/>
      <w:lvlText w:val="%4."/>
      <w:lvlJc w:val="left"/>
      <w:pPr>
        <w:ind w:left="2880" w:hanging="360"/>
      </w:pPr>
    </w:lvl>
    <w:lvl w:ilvl="4" w:tplc="44051632" w:tentative="1">
      <w:start w:val="1"/>
      <w:numFmt w:val="lowerLetter"/>
      <w:lvlText w:val="%5."/>
      <w:lvlJc w:val="left"/>
      <w:pPr>
        <w:ind w:left="3600" w:hanging="360"/>
      </w:pPr>
    </w:lvl>
    <w:lvl w:ilvl="5" w:tplc="44051632" w:tentative="1">
      <w:start w:val="1"/>
      <w:numFmt w:val="lowerRoman"/>
      <w:lvlText w:val="%6."/>
      <w:lvlJc w:val="right"/>
      <w:pPr>
        <w:ind w:left="4320" w:hanging="180"/>
      </w:pPr>
    </w:lvl>
    <w:lvl w:ilvl="6" w:tplc="44051632" w:tentative="1">
      <w:start w:val="1"/>
      <w:numFmt w:val="decimal"/>
      <w:lvlText w:val="%7."/>
      <w:lvlJc w:val="left"/>
      <w:pPr>
        <w:ind w:left="5040" w:hanging="360"/>
      </w:pPr>
    </w:lvl>
    <w:lvl w:ilvl="7" w:tplc="44051632" w:tentative="1">
      <w:start w:val="1"/>
      <w:numFmt w:val="lowerLetter"/>
      <w:lvlText w:val="%8."/>
      <w:lvlJc w:val="left"/>
      <w:pPr>
        <w:ind w:left="5760" w:hanging="360"/>
      </w:pPr>
    </w:lvl>
    <w:lvl w:ilvl="8" w:tplc="44051632" w:tentative="1">
      <w:start w:val="1"/>
      <w:numFmt w:val="lowerRoman"/>
      <w:lvlText w:val="%9."/>
      <w:lvlJc w:val="right"/>
      <w:pPr>
        <w:ind w:left="6480" w:hanging="180"/>
      </w:pPr>
    </w:lvl>
  </w:abstractNum>
  <w:abstractNum w:abstractNumId="17025586">
    <w:multiLevelType w:val="hybridMultilevel"/>
    <w:lvl w:ilvl="0" w:tplc="20969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25586">
    <w:abstractNumId w:val="17025586"/>
  </w:num>
  <w:num w:numId="17025587">
    <w:abstractNumId w:val="170255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3229423" Type="http://schemas.microsoft.com/office/2011/relationships/commentsExtended" Target="commentsExtended.xml"/><Relationship Id="rId185523960" Type="http://schemas.microsoft.com/office/2011/relationships/people" Target="people.xml"/><Relationship Id="rId107966980e9471afa" Type="http://schemas.openxmlformats.org/officeDocument/2006/relationships/hyperlink" Target="https://gd.eppo.int/taxon/ENDOPA/" TargetMode="External"/><Relationship Id="rId139566980e9471b86" Type="http://schemas.openxmlformats.org/officeDocument/2006/relationships/hyperlink" Target="https://gd.eppo.int/taxon/ENDOPA/categorization" TargetMode="External"/><Relationship Id="rId533866980e9481af1" Type="http://schemas.openxmlformats.org/officeDocument/2006/relationships/hyperlink" Target="https://gd.eppo.int/taxon/ENDOPA/photos" TargetMode="External"/><Relationship Id="rId211466980e9492452" Type="http://schemas.openxmlformats.org/officeDocument/2006/relationships/hyperlink" Target="https://www.ncbi.nlm.nih.gov/pmc/articles/PMC6638123/#mpp12542-bib-0111" TargetMode="External"/><Relationship Id="rId318266980e949360e" Type="http://schemas.openxmlformats.org/officeDocument/2006/relationships/hyperlink" Target="https://www.forestresearch.gov.uk/tools-and-resources/pest-and-disease-resources/sweet-chestnut-blight-cryphonectria-parasitica/" TargetMode="External"/><Relationship Id="rId986866980e9493b19" Type="http://schemas.openxmlformats.org/officeDocument/2006/relationships/hyperlink" Target="https://doi.org/10.3390/v10120687" TargetMode="External"/><Relationship Id="rId930766980e94940e0" Type="http://schemas.openxmlformats.org/officeDocument/2006/relationships/hyperlink" Target="https://gd.eppo.int" TargetMode="External"/><Relationship Id="rId564666980e947250b" Type="http://schemas.openxmlformats.org/officeDocument/2006/relationships/image" Target="media/imgrId564666980e947250b.jpg"/><Relationship Id="rId880666980e9483240" Type="http://schemas.openxmlformats.org/officeDocument/2006/relationships/image" Target="media/imgrId880666980e9483240.jpg"/><Relationship Id="rId634666980e9494442" Type="http://schemas.openxmlformats.org/officeDocument/2006/relationships/image" Target="media/imgrId634666980e949444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