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fawcettii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fawcettii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fawcettii</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Ramularia scabiosa</w:t>
            </w:r>
            <w:r>
              <w:rPr>
                <w:rFonts w:ascii="Calibri" w:hAnsi="Calibri" w:eastAsia="Calibri" w:cs="Calibri"/>
                <w:color w:val="000000"/>
                <w:position w:val="-3"/>
                <w:sz w:val="22"/>
                <w:szCs w:val="22"/>
              </w:rPr>
              <w:t xml:space="preserve"> McAlpine &amp; Tryon, </w:t>
            </w:r>
            <w:r>
              <w:rPr>
                <w:rFonts w:ascii="Calibri" w:hAnsi="Calibri" w:eastAsia="Calibri" w:cs="Calibri"/>
                <w:i/>
                <w:iCs/>
                <w:color w:val="000000"/>
                <w:position w:val="-3"/>
                <w:sz w:val="22"/>
                <w:szCs w:val="22"/>
              </w:rPr>
              <w:t xml:space="preserve">Sphaceloma citri</w:t>
            </w:r>
            <w:r>
              <w:rPr>
                <w:rFonts w:ascii="Calibri" w:hAnsi="Calibri" w:eastAsia="Calibri" w:cs="Calibri"/>
                <w:color w:val="000000"/>
                <w:position w:val="-3"/>
                <w:sz w:val="22"/>
                <w:szCs w:val="22"/>
              </w:rPr>
              <w:t xml:space="preserve"> (Butler) Ciferri, </w:t>
            </w:r>
            <w:r>
              <w:rPr>
                <w:rFonts w:ascii="Calibri" w:hAnsi="Calibri" w:eastAsia="Calibri" w:cs="Calibri"/>
                <w:i/>
                <w:iCs/>
                <w:color w:val="000000"/>
                <w:position w:val="-3"/>
                <w:sz w:val="22"/>
                <w:szCs w:val="22"/>
              </w:rPr>
              <w:t xml:space="preserve">Sphaceloma fawcettii var. scabiosa</w:t>
            </w:r>
            <w:r>
              <w:rPr>
                <w:rFonts w:ascii="Calibri" w:hAnsi="Calibri" w:eastAsia="Calibri" w:cs="Calibri"/>
                <w:color w:val="000000"/>
                <w:position w:val="-3"/>
                <w:sz w:val="22"/>
                <w:szCs w:val="22"/>
              </w:rPr>
              <w:t xml:space="preserve"> (McAlpine &amp; Tryon) Jenkins, </w:t>
            </w:r>
            <w:r>
              <w:rPr>
                <w:rFonts w:ascii="Calibri" w:hAnsi="Calibri" w:eastAsia="Calibri" w:cs="Calibri"/>
                <w:i/>
                <w:iCs/>
                <w:color w:val="000000"/>
                <w:position w:val="-3"/>
                <w:sz w:val="22"/>
                <w:szCs w:val="22"/>
              </w:rPr>
              <w:t xml:space="preserve">Sphaceloma fawcettii</w:t>
            </w:r>
            <w:r>
              <w:rPr>
                <w:rFonts w:ascii="Calibri" w:hAnsi="Calibri" w:eastAsia="Calibri" w:cs="Calibri"/>
                <w:color w:val="000000"/>
                <w:position w:val="-3"/>
                <w:sz w:val="22"/>
                <w:szCs w:val="22"/>
              </w:rPr>
              <w:t xml:space="preserve"> Jenkins, </w:t>
            </w:r>
            <w:r>
              <w:rPr>
                <w:rFonts w:ascii="Calibri" w:hAnsi="Calibri" w:eastAsia="Calibri" w:cs="Calibri"/>
                <w:i/>
                <w:iCs/>
                <w:color w:val="000000"/>
                <w:position w:val="-3"/>
                <w:sz w:val="22"/>
                <w:szCs w:val="22"/>
              </w:rPr>
              <w:t xml:space="preserve">Sporotrichum citri</w:t>
            </w:r>
            <w:r>
              <w:rPr>
                <w:rFonts w:ascii="Calibri" w:hAnsi="Calibri" w:eastAsia="Calibri" w:cs="Calibri"/>
                <w:color w:val="000000"/>
                <w:position w:val="-3"/>
                <w:sz w:val="22"/>
                <w:szCs w:val="22"/>
              </w:rPr>
              <w:t xml:space="preserve"> Butler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scab of orange, scab of citrus, scab of mango, scab of sour orange</w:t>
            </w:r>
            <w:hyperlink r:id="rId735569bb13264045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08969bb13264049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862505" name="name277869bb132640e22" descr="13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02.jpg"/>
                          <pic:cNvPicPr/>
                        </pic:nvPicPr>
                        <pic:blipFill>
                          <a:blip r:embed="rId115169bb132640e20" cstate="print"/>
                          <a:stretch>
                            <a:fillRect/>
                          </a:stretch>
                        </pic:blipFill>
                        <pic:spPr>
                          <a:xfrm>
                            <a:off x="0" y="0"/>
                            <a:ext cx="2160000" cy="1281600"/>
                          </a:xfrm>
                          <a:prstGeom prst="rect">
                            <a:avLst/>
                          </a:prstGeom>
                          <a:ln w="0">
                            <a:noFill/>
                          </a:ln>
                        </pic:spPr>
                      </pic:pic>
                    </a:graphicData>
                  </a:graphic>
                </wp:inline>
              </w:drawing>
            </w:r>
            <w:hyperlink r:id="rId103969bb132640f7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 E. fawcettii</w:t>
      </w:r>
      <w:r>
        <w:rPr>
          <w:rFonts w:ascii="Calibri" w:hAnsi="Calibri" w:eastAsia="Calibri" w:cs="Calibri"/>
          <w:color w:val="000000"/>
          <w:sz w:val="22"/>
          <w:szCs w:val="22"/>
        </w:rPr>
        <w:t xml:space="preserve"> was the first species described causing citrus scab. This description was based on the asexual 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(Jenkins, 1925) which is currently synonymized with </w:t>
      </w:r>
      <w:r>
        <w:rPr>
          <w:rFonts w:ascii="Calibri" w:hAnsi="Calibri" w:eastAsia="Calibri" w:cs="Calibri"/>
          <w:i/>
          <w:iCs/>
          <w:color w:val="000000"/>
          <w:sz w:val="22"/>
          <w:szCs w:val="22"/>
        </w:rPr>
        <w:t xml:space="preserve">Sphaceloma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and a number of species in other genera. The perfect stage,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was later described from Brazil (Bitancourt &amp; Jenkins, 1936).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has high intraspecific diversity and comprises many pathotypes described based on host range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obtained the delimitation and geographic distribution of at least six pathotypes (FBHR, FNHR, SGGC, Tryon’s, Sweet orange and Lemon) based on pathogenicity tests on eight differential hosts including 61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from six countries. The number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pathotypes described increased to 11 when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46 Chinese isolates on nine different citrus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 pathogen capable of infecting diverse host plants in the family of Rutaceae, mainly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cultivars and hybrids. Highly susceptible hosts are sour oranges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Many other species and hybrids of Rutaceae include susceptible or moderately susceptible cultivars or clones, e.g. calamondins (</w:t>
      </w:r>
      <w:r>
        <w:rPr>
          <w:rFonts w:ascii="Calibri" w:hAnsi="Calibri" w:eastAsia="Calibri" w:cs="Calibri"/>
          <w:i/>
          <w:iCs/>
          <w:color w:val="000000"/>
          <w:sz w:val="22"/>
          <w:szCs w:val="22"/>
        </w:rPr>
        <w:t xml:space="preserve">C. madurensis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Citrofortunella microcarpa, </w:t>
      </w:r>
      <w:r>
        <w:rPr>
          <w:rFonts w:ascii="Calibri" w:hAnsi="Calibri" w:eastAsia="Calibri" w:cs="Calibri"/>
          <w:i/>
          <w:iCs/>
          <w:color w:val="000000"/>
          <w:sz w:val="22"/>
          <w:szCs w:val="22"/>
        </w:rPr>
        <w:t xml:space="preserve">Citroncirus, C.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rough lemons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and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Some cultivars of kumquats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are incidental hosts. Not susceptible or immune citrus types are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widely distributed, but mainly occurs in humid citrus-growing regions in the world. Although both the anamorph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and 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described based on material collected in São Paulo, Brazil, there is not sufficient information available to consider that the origin of the fungus is in Brazil or in South America. In addition, the distribution history of 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unknown. Citrus-growing regions in the tropics are particularly affected by scab disease. In the North Temperate Zone, the disease distribution is still restricted, and Georgia is presently the only country in the EPPO region with a confirmed record.</w:t>
      </w:r>
    </w:p>
    <w:p>
      <w:r>
        <w:drawing>
          <wp:inline distT="0" distB="0" distL="0" distR="0">
            <wp:extent cx="6120000" cy="3067200"/>
            <wp:docPr id="6886701" name="name227669bb132642921" descr="ELSI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FA_distribution_map.jpg"/>
                    <pic:cNvPicPr/>
                  </pic:nvPicPr>
                  <pic:blipFill>
                    <a:blip r:embed="rId231869bb1326429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Congo, The Democratic Republic of the, Ethiopia, Gabon, Ghana, Kenya, Madagascar, Malawi, Mozambique, Nigeria, Sierra Leone, Somalia,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(Fujian, Guangdong, Guangxi, Guizhou, Hubei, Hunan, Jiangxi, Sichuan, Xianggang (Hong Kong), Yunnan, Zhejiang), India (Assam, Karnataka, Madhya Pradesh, Maharashtra, Meghalaya, Punjab, Sikkim, Tamil Nadu, Uttar Pradesh, West Bengal), Indonesia (Irian Jaya, Java, Kalimantan), Japan (Honshu, Ryukyu Archipelago), Korea, Democratic People's Republic of, Korea, Republic of, Lao People's Democratic Republic, Malaysia (Sabah, Sarawak, West), Maldives,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Hawaii, Louisiana, Mississippi,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Bermuda, Cayman Islands, Costa Rica, Cuba, Dominica, Dominican Republic, El Salvador, Grenada, Guadeloupe, Guatemala, Haiti, Honduras, Jamaica, Martinique, Nicaragua, Panama, Puerto Rico, Saint Lucia,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Goias, Maranhao, Minas Gerais, Parana, Piaui, Rio de Janeiro, Sao Paulo),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Victoria), Cook Islands, Fiji, French Polynesia, Guam, Micronesia, Federated States of, New Caledonia, New Zealand, Papua New Guinea, Samoa,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produces two types of conidia: hyaline conidia and coloured, spindle-shaped conidia. Hyaline conidia are one-celled, elliptical, and represent the primary source of inoculum. Their survival and infectious ability are reliant on wet conditions, and they quickly die if exposed to dry conditions. Spindle-shaped, dark-pigmented conidia are formed on scab lesions and may germinate to produce hyaline conidia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Whiteside, 1975). Conidia are formed abundantly on wet scabs, in a nearly saturated atmosphere at optimum temperature between 20 and 28°C. Dispersal occurs mainly by rain or water splash, but winds in excess of 2 m.s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can disseminate spindle-shaped conidia over short distances.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24-27°C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very uncommon and has been reported only in Brazil (Bitancourt &amp; Jenkins, 1936).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shoots and fruits are infected when they are young, with variable infection periods. Leaves are susceptible to infection just after emergence until they reach 25 % expansion, they become tolerant when reaching one half of their full size. Immature fruits are susceptible to infection from the petal fall until up to 2-3 months.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able to survive in scab pustules on leaves, fruits and twigs remaining on the tree (Chung, 2011), providing the inoculum for the next season. Even in resistant cultivars, the fungus can survive on diseased shoots sprouting from susceptible rootstocks (Whiteside, 1975,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symptoms vary with the age of infected tissues and among cultivars (Chung, 2011). Lesions on young leaves begin as minute water-soaked spots which subsequently evolve into amphigenous, creamy-yellowish or variously bright-coloured pustules (EPPO/CABI, 1992). These lesions grow as irregular, globose or conical excrescences, which coalesce and extend mostly along the main veins to cover a large part of the blade, particularly on the lower surface. The central area of these wart-like outgrowths is depressed and becomes drab, greyish and velvety when the fungus is fruiting. Old scab lesions have a rough surface, are dusky-coloured and become cracked and fissured. Affected leaves become stunted, malformed, wrinkled or puckered, with irregular torn margins. Defoliation often follows severe infections. Similar warty lesions and corky eruptions are formed on young twigs, tender shoots and stems of nursery plants, which can grow bushy and stunted. Also blossom pedicels and buttons are susceptible to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infected in the early stages of their development, grow misshapen and are subject to premature fall. On the rind of developed fruits, raised lesions are formed with different shapes, sizes and colours according to species and cultivar affected. They appear as scattered protuberances, conical projections or crater-like outgrowths or they coalesce to give scabby patches or extensive areas of fine eruptions. Scab however does not extend to the flesh (CABI, 2020).</w:t>
      </w:r>
      <w:r>
        <w:rPr>
          <w:rFonts w:ascii="Calibri" w:hAnsi="Calibri" w:eastAsia="Calibri" w:cs="Calibri"/>
          <w:i/>
          <w:iCs/>
          <w:color w:val="000000"/>
          <w:sz w:val="22"/>
          <w:szCs w:val="22"/>
        </w:rPr>
        <w:t xml:space="preserve"> E. fawcettii</w:t>
      </w:r>
      <w:r>
        <w:rPr>
          <w:rFonts w:ascii="Calibri" w:hAnsi="Calibri" w:eastAsia="Calibri" w:cs="Calibri"/>
          <w:color w:val="000000"/>
          <w:sz w:val="22"/>
          <w:szCs w:val="22"/>
        </w:rPr>
        <w:t xml:space="preserve"> scabs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(e.g. rub scratches caused by wind), and it is difficult to differentiate it based on symptoms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forms pulvinate, globose, dark, pseudoparenchymatous, multilocular, up to 80-120 µm thick ascomata containing numerous asci. Asci up to 20 per locule, subglobose or ovoid, bitunicate, inner wall thickened at the top, 12-16 µm diameter, eight-spored. Ascospores hyaline, ellipsoidal or oblong-ellipsoidal, with two to four cells, usually constricted at the central septum, 10-12 x 5-6 µm diameter.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3-4 x 4-8 µm (Timmer, 2000). Mycelium hyaline, scanty, septate, short-branched. Colonies in culture very slow-growing, beige to tan or vinaceous to black, well raised above the agar surface and covered by tufts of short erect hyphae. Most strains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secrete red pigments after 10-15 days incubation in the light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practically identical. Thus, it is difficult to obtain reliable identification and differentiation based on morphology alone (Sivanesan &amp; Critchett, 1974a, b, 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cannot be based solely on the visual observations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addition, the possibility of using immunochemical methods for pathogen detection has been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partially resolved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successfully used in the detection of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movement of </w:t>
      </w:r>
      <w:r>
        <w:rPr>
          <w:rFonts w:ascii="Calibri" w:hAnsi="Calibri" w:eastAsia="Calibri" w:cs="Calibri"/>
          <w:i/>
          <w:iCs/>
          <w:color w:val="000000"/>
          <w:sz w:val="22"/>
          <w:szCs w:val="22"/>
        </w:rPr>
        <w:t xml:space="preserve">E. fawcetti</w:t>
      </w:r>
      <w:r>
        <w:rPr>
          <w:rFonts w:ascii="Calibri" w:hAnsi="Calibri" w:eastAsia="Calibri" w:cs="Calibri"/>
          <w:color w:val="000000"/>
          <w:sz w:val="22"/>
          <w:szCs w:val="22"/>
        </w:rPr>
        <w:t xml:space="preserve"> can occur via international trade of plants for planting of host species (excluding seeds) and citrus fruits (with or without leaves and peduncles) originating in infected countries. Local and short-distance dissemination of the pathogen is mostly due to rain (or irrigation water), although insects and, to a certain extent, wind-carried water droplets containing spores may contribute to its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orchards,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affects mostly sour oranges and susceptible cultivars of lemons, mandarins, tangelos and grapefruits, whereas most cultivars of oranges and limes are less or not affected. The disease is particularly serious in the nursery on susceptible rootstocks, such as sour oranges, rough lemons,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(CABI, 2020). It may stunt seedlings or make them bushy and difficult to bud. Scabs are present, particularly on the young growth. Citrus scab causes yield and quality losses. Infected fruits present superficial damage produced by scabs, they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20" w:after="220" w:line="240" w:lineRule="auto"/>
        <w:ind w:left="0" w:right="0"/>
        <w:jc w:val="both"/>
      </w:pPr>
      <w:r>
        <w:rPr>
          <w:rFonts w:ascii="Calibri" w:hAnsi="Calibri" w:eastAsia="Calibri" w:cs="Calibri"/>
          <w:color w:val="000000"/>
          <w:sz w:val="22"/>
          <w:szCs w:val="22"/>
        </w:rPr>
        <w:t xml:space="preserve">In Uruguay, Bernal (2000) reported that untreated plots in untreated plots, up to 98% of fruit had to be rejected due to to scab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 The disease incidence was reduced to 0.7–7.4% after applying fungicides. In Florida, Whiteside (1974, 1981) indicated a scab incidence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15% to 78% of affected fruit in untreated control plots. It is not known and even difficult to predict if agronomic practices and climatic conditions in the citrus-growing areas of the EPPO region will lead to similar levels of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can be controlled by agricultural practices, sanitation and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orchard ventilation. Sanitation measures represent the most effective strategy for scab management and aim to eliminate inoculum sources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through burial of fallen infected leaves, removal of symptomatic fruits, and destruction of all diseased trees. In countries where the disease occurs, chemical control is widely used and several synthetic fungicides such as benomyl, thiophanate methyl, azoxystrobin, trifloxystrobin, pyraclostrobin, ferbam, and copper compounds have been proven to be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Argentina, two chemical sprays are applied for the control of citrus scab; the first one when 25% of the flowers are open and the second one 7–10 days after the first treatment (Timmer, 2000; Schultz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a control programme with two fungicide sprays, one at petal fall followed by a second one 2–3 weeks later, is used (Chung, 2011). As extensive use of these chemicals may lead to harmful effects on the human health and the environment, alternative treatments using plant extracts have been tested with positive effect in vitro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Repeated applications of fungicides may also lead to the development of resistance in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Benzimidazole-tolerant strains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detected in the USA (Florida), Uruguay (Whiteside, 1980; Bernal, 2000) and New Zealand (Tyson &amp; Fullerton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plants and fruits from countries where the pathogen is present may present a risk of introduction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countries of the EPPO region, the import of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Fortunella,</w:t>
      </w:r>
      <w:r>
        <w:rPr>
          <w:rFonts w:ascii="Calibri" w:hAnsi="Calibri" w:eastAsia="Calibri" w:cs="Calibri"/>
          <w:color w:val="000000"/>
          <w:sz w:val="22"/>
          <w:szCs w:val="22"/>
        </w:rPr>
        <w:t xml:space="preserve"> and their hybrids from other parts of the world, is prohibited. Restrictions on fruit trade are also usually implemented. It can be requested that fruit should originate from pest-free areas or from pest-free places of production as demonstrated by crop inspections and laboratory testing prior to export, and that fruit are exported without leaves and peduncles.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RP (2000) Occurrence of citrus scab strains resistant to benzimidazoles in the northern part of Uruguay and the evaluation of new fungicides to control this disease. </w:t>
      </w:r>
      <w:r>
        <w:rPr>
          <w:rFonts w:ascii="Calibri" w:hAnsi="Calibri" w:eastAsia="Calibri" w:cs="Calibri"/>
          <w:i/>
          <w:iCs/>
          <w:color w:val="000000"/>
          <w:sz w:val="22"/>
          <w:szCs w:val="22"/>
        </w:rPr>
        <w:t xml:space="preserve">Proceedings of the International Society of Citriculture IX Congress</w:t>
      </w:r>
      <w:r>
        <w:rPr>
          <w:rFonts w:ascii="Calibri" w:hAnsi="Calibri" w:eastAsia="Calibri" w:cs="Calibri"/>
          <w:color w:val="000000"/>
          <w:sz w:val="22"/>
          <w:szCs w:val="22"/>
        </w:rPr>
        <w:t xml:space="preserve">, 3–7 December 2000, Orlando, Florida, USA, pp. 984–986. </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the perfect stage of citrus scab fungus.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393-396.</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https://www.cabi.org/cpc/datasheet/20777</w:t>
      </w:r>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 Niere B, Parnell S, Potting R, Rafoss T, Urek G, Van Bruggen A, Van der Werf W, West J, Winter S, Vicent A, Vloutoglou I, Bottex B and Rossi V. Scientific Opinion on the pest categorisation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5100, 27 pp. </w:t>
      </w:r>
      <w:hyperlink r:id="rId474469bb132643abe" w:history="1">
        <w:r>
          <w:rPr>
            <w:rFonts w:ascii="Calibri" w:hAnsi="Calibri" w:eastAsia="Calibri" w:cs="Calibri"/>
            <w:color w:val="0000CC"/>
            <w:sz w:val="22"/>
            <w:szCs w:val="22"/>
            <w:u w:val="single"/>
          </w:rPr>
          <w:t xml:space="preserve">https://doi.org/10.2903/j.efsa.2017.5100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(1992) Data Sheets on Quarantine Pests: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(eds Smith IM, McNamara DG, Scott PR &amp; Harris KM), 6 pp.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 Review. Research and Reviews: </w:t>
      </w:r>
      <w:r>
        <w:rPr>
          <w:rFonts w:ascii="Calibri" w:hAnsi="Calibri" w:eastAsia="Calibri" w:cs="Calibri"/>
          <w:i/>
          <w:iCs/>
          <w:color w:val="000000"/>
          <w:sz w:val="22"/>
          <w:szCs w:val="22"/>
        </w:rPr>
        <w:t xml:space="preserve">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Crous PW, Redhead SA, Reynolds DR, Samson RA, Seifert KA, Taylor JW, Wingfield MJ, Thrane U, Frisvad JC, Signatories (2011) 2. The Amsterdam Declaration on fungal nomenclature.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491-500. </w:t>
      </w:r>
      <w:hyperlink r:id="rId663469bb132643cef" w:history="1">
        <w:r>
          <w:rPr>
            <w:rFonts w:ascii="Calibri" w:hAnsi="Calibri" w:eastAsia="Calibri" w:cs="Calibri"/>
            <w:color w:val="0000CC"/>
            <w:sz w:val="22"/>
            <w:szCs w:val="22"/>
            <w:u w:val="single"/>
          </w:rPr>
          <w:t xml:space="preserve">https://doi.org/10.5248/116.491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Hou X, Huang F, Zhang TY, Xu JG, Hyde DK, Li HY (2014) Pathotypes and genetic diversity of Chinese collections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causing citrus scab.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1293-1302.</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SY, MacKenzie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(eds by Reuthe,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A, Muqbool R, Alam MW, Mehboob S (2016) Exploration of ethanolic extracts of parthenium and lemon grass for management of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Phytopathology</w:t>
      </w:r>
      <w:r>
        <w:rPr>
          <w:rFonts w:ascii="Calibri" w:hAnsi="Calibri" w:eastAsia="Calibri" w:cs="Calibri"/>
          <w:color w:val="000000"/>
          <w:sz w:val="22"/>
          <w:szCs w:val="22"/>
        </w:rPr>
        <w:t xml:space="preserve">, 28(01)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Tan MK, Timmer LW, Broadbent P, Priest M &amp; Cain P (1996) Differentiation by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spp. causing scab diseases of citrus and its epidemiological implications.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1039-1044.</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w:t>
      </w:r>
      <w:r>
        <w:rPr>
          <w:rFonts w:ascii="Calibri" w:hAnsi="Calibri" w:eastAsia="Calibri" w:cs="Calibri"/>
          <w:color w:val="000000"/>
          <w:sz w:val="22"/>
          <w:szCs w:val="22"/>
        </w:rPr>
        <w:t xml:space="preserve">, 2nd edition The American Phytopathological Society,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Priest M, Broadbent P, Tan MK</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(1996) Morphological and pathological characterization of species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disease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Tyson JL, Fullerton RA (2001) First report of benomyl resistance in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New Zealand citrus orchards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69-69. </w:t>
      </w:r>
    </w:p>
    <w:p>
      <w:pPr>
        <w:widowControl w:val="on"/>
        <w:pBdr/>
        <w:spacing w:before="220" w:after="220" w:line="240" w:lineRule="auto"/>
        <w:ind w:left="0" w:right="0"/>
        <w:jc w:val="left"/>
      </w:pPr>
      <w:r>
        <w:rPr>
          <w:rFonts w:ascii="Calibri" w:hAnsi="Calibri" w:eastAsia="Calibri" w:cs="Calibri"/>
          <w:color w:val="000000"/>
          <w:sz w:val="22"/>
          <w:szCs w:val="22"/>
        </w:rPr>
        <w:t xml:space="preserve">Schultz D, Rybak M, French RD (2013) Citrus scab and sweet orange scab. Texas A&amp;M Agrilife Extension, Amarillo, TX, USA. 2 pp.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(1974) Evaluation of fungicides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(1981) Evolution of current methods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&amp;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EPPO datasheets on pests recommended for regulation. Available online. </w:t>
      </w:r>
      <w:hyperlink r:id="rId614669bb13264482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'Quarantine Pests for Europe' in 1992 and updated in the second edition in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9639195" name="name988869bb132644ca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6969bb132644ca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471653">
    <w:multiLevelType w:val="hybridMultilevel"/>
    <w:lvl w:ilvl="0" w:tplc="46456895">
      <w:start w:val="1"/>
      <w:numFmt w:val="decimal"/>
      <w:lvlText w:val="%1."/>
      <w:lvlJc w:val="left"/>
      <w:pPr>
        <w:ind w:left="720" w:hanging="360"/>
      </w:pPr>
    </w:lvl>
    <w:lvl w:ilvl="1" w:tplc="46456895" w:tentative="1">
      <w:start w:val="1"/>
      <w:numFmt w:val="lowerLetter"/>
      <w:lvlText w:val="%2."/>
      <w:lvlJc w:val="left"/>
      <w:pPr>
        <w:ind w:left="1440" w:hanging="360"/>
      </w:pPr>
    </w:lvl>
    <w:lvl w:ilvl="2" w:tplc="46456895" w:tentative="1">
      <w:start w:val="1"/>
      <w:numFmt w:val="lowerRoman"/>
      <w:lvlText w:val="%3."/>
      <w:lvlJc w:val="right"/>
      <w:pPr>
        <w:ind w:left="2160" w:hanging="180"/>
      </w:pPr>
    </w:lvl>
    <w:lvl w:ilvl="3" w:tplc="46456895" w:tentative="1">
      <w:start w:val="1"/>
      <w:numFmt w:val="decimal"/>
      <w:lvlText w:val="%4."/>
      <w:lvlJc w:val="left"/>
      <w:pPr>
        <w:ind w:left="2880" w:hanging="360"/>
      </w:pPr>
    </w:lvl>
    <w:lvl w:ilvl="4" w:tplc="46456895" w:tentative="1">
      <w:start w:val="1"/>
      <w:numFmt w:val="lowerLetter"/>
      <w:lvlText w:val="%5."/>
      <w:lvlJc w:val="left"/>
      <w:pPr>
        <w:ind w:left="3600" w:hanging="360"/>
      </w:pPr>
    </w:lvl>
    <w:lvl w:ilvl="5" w:tplc="46456895" w:tentative="1">
      <w:start w:val="1"/>
      <w:numFmt w:val="lowerRoman"/>
      <w:lvlText w:val="%6."/>
      <w:lvlJc w:val="right"/>
      <w:pPr>
        <w:ind w:left="4320" w:hanging="180"/>
      </w:pPr>
    </w:lvl>
    <w:lvl w:ilvl="6" w:tplc="46456895" w:tentative="1">
      <w:start w:val="1"/>
      <w:numFmt w:val="decimal"/>
      <w:lvlText w:val="%7."/>
      <w:lvlJc w:val="left"/>
      <w:pPr>
        <w:ind w:left="5040" w:hanging="360"/>
      </w:pPr>
    </w:lvl>
    <w:lvl w:ilvl="7" w:tplc="46456895" w:tentative="1">
      <w:start w:val="1"/>
      <w:numFmt w:val="lowerLetter"/>
      <w:lvlText w:val="%8."/>
      <w:lvlJc w:val="left"/>
      <w:pPr>
        <w:ind w:left="5760" w:hanging="360"/>
      </w:pPr>
    </w:lvl>
    <w:lvl w:ilvl="8" w:tplc="46456895" w:tentative="1">
      <w:start w:val="1"/>
      <w:numFmt w:val="lowerRoman"/>
      <w:lvlText w:val="%9."/>
      <w:lvlJc w:val="right"/>
      <w:pPr>
        <w:ind w:left="6480" w:hanging="180"/>
      </w:pPr>
    </w:lvl>
  </w:abstractNum>
  <w:abstractNum w:abstractNumId="13471652">
    <w:multiLevelType w:val="hybridMultilevel"/>
    <w:lvl w:ilvl="0" w:tplc="794986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471652">
    <w:abstractNumId w:val="13471652"/>
  </w:num>
  <w:num w:numId="13471653">
    <w:abstractNumId w:val="134716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6528741" Type="http://schemas.microsoft.com/office/2011/relationships/commentsExtended" Target="commentsExtended.xml"/><Relationship Id="rId634885751" Type="http://schemas.microsoft.com/office/2011/relationships/people" Target="people.xml"/><Relationship Id="rId735569bb132640450" Type="http://schemas.openxmlformats.org/officeDocument/2006/relationships/hyperlink" Target="https://gd.eppo.int/taxon/ELSIFA/" TargetMode="External"/><Relationship Id="rId708969bb132640496" Type="http://schemas.openxmlformats.org/officeDocument/2006/relationships/hyperlink" Target="https://gd.eppo.int/taxon/ELSIFA/categorization" TargetMode="External"/><Relationship Id="rId103969bb132640f7f" Type="http://schemas.openxmlformats.org/officeDocument/2006/relationships/hyperlink" Target="https://gd.eppo.int/taxon/ELSIFA/photos" TargetMode="External"/><Relationship Id="rId474469bb132643abe" Type="http://schemas.openxmlformats.org/officeDocument/2006/relationships/hyperlink" Target="https://doi.org/10.2903/j.efsa.2017.5100" TargetMode="External"/><Relationship Id="rId663469bb132643cef" Type="http://schemas.openxmlformats.org/officeDocument/2006/relationships/hyperlink" Target="https://doi.org/10.5248/116.491" TargetMode="External"/><Relationship Id="rId614669bb132644823" Type="http://schemas.openxmlformats.org/officeDocument/2006/relationships/hyperlink" Target="https://gd.eppo.int" TargetMode="External"/><Relationship Id="rId115169bb132640e20" Type="http://schemas.openxmlformats.org/officeDocument/2006/relationships/image" Target="media/imgrId115169bb132640e20.jpg"/><Relationship Id="rId231869bb13264291d" Type="http://schemas.openxmlformats.org/officeDocument/2006/relationships/image" Target="media/imgrId231869bb13264291d.jpg"/><Relationship Id="rId386969bb132644ca0" Type="http://schemas.openxmlformats.org/officeDocument/2006/relationships/image" Target="media/imgrId386969bb132644ca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