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australis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australis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fawcettii var. viscosa</w:t>
            </w:r>
            <w:r>
              <w:rPr>
                <w:rFonts w:ascii="Calibri" w:hAnsi="Calibri" w:eastAsia="Calibri" w:cs="Calibri"/>
                <w:color w:val="000000"/>
                <w:position w:val="-3"/>
                <w:sz w:val="22"/>
                <w:szCs w:val="22"/>
              </w:rPr>
              <w:t xml:space="preserve"> Jenkins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scab of sweet orange</w:t>
            </w:r>
            <w:hyperlink r:id="rId49646629dcd7246b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236629dcd72470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originally described from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(sweet orange) in Brazil causing cork-like necrotic tissues on fruit. Its description was based on the asexual morph </w:t>
      </w:r>
      <w:r>
        <w:rPr>
          <w:rFonts w:ascii="Calibri" w:hAnsi="Calibri" w:eastAsia="Calibri" w:cs="Calibri"/>
          <w:i/>
          <w:iCs/>
          <w:color w:val="000000"/>
          <w:sz w:val="22"/>
          <w:szCs w:val="22"/>
        </w:rPr>
        <w:t xml:space="preserve">Sphaceloma australis</w:t>
      </w:r>
      <w:r>
        <w:rPr>
          <w:rFonts w:ascii="Calibri" w:hAnsi="Calibri" w:eastAsia="Calibri" w:cs="Calibri"/>
          <w:color w:val="000000"/>
          <w:sz w:val="22"/>
          <w:szCs w:val="22"/>
        </w:rPr>
        <w:t xml:space="preserve"> (Bitancourt &amp; Jenkins, 1936) and has only few differentiating morphological characters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The teleomorph is only known from Brazil.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high intraspecific diversity and comprises at least five pathotypes described based on host range and geography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2001;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The sweet orange pathotype is known in South America on satsuma mandarin and Valencia sweet orange (</w:t>
      </w:r>
      <w:r>
        <w:rPr>
          <w:rFonts w:ascii="Calibri" w:hAnsi="Calibri" w:eastAsia="Calibri" w:cs="Calibri"/>
          <w:i/>
          <w:iCs/>
          <w:color w:val="000000"/>
          <w:sz w:val="22"/>
          <w:szCs w:val="22"/>
        </w:rPr>
        <w:t xml:space="preserve">Citrus unshiu, C. sinensis,</w:t>
      </w:r>
      <w:r>
        <w:rPr>
          <w:rFonts w:ascii="Calibri" w:hAnsi="Calibri" w:eastAsia="Calibri" w:cs="Calibri"/>
          <w:color w:val="000000"/>
          <w:sz w:val="22"/>
          <w:szCs w:val="22"/>
        </w:rPr>
        <w:t xml:space="preserv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natsudaidai pathotype was described in the Republic of Korea on natsudaidai (</w:t>
      </w:r>
      <w:r>
        <w:rPr>
          <w:rFonts w:ascii="Calibri" w:hAnsi="Calibri" w:eastAsia="Calibri" w:cs="Calibri"/>
          <w:i/>
          <w:iCs/>
          <w:color w:val="000000"/>
          <w:sz w:val="22"/>
          <w:szCs w:val="22"/>
        </w:rPr>
        <w:t xml:space="preserve">C. natsudaidai</w:t>
      </w:r>
      <w:r>
        <w:rPr>
          <w:rFonts w:ascii="Calibri" w:hAnsi="Calibri" w:eastAsia="Calibri" w:cs="Calibri"/>
          <w:color w:val="000000"/>
          <w:sz w:val="22"/>
          <w:szCs w:val="22"/>
        </w:rPr>
        <w:t xml:space="preserve">) fruit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Australia, two pathotypes, Finger Lime and Jojoba Black, have been described associated with finger lime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respectively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Another pathotype was characterised and is associated with poplar spot anthracnose in China (Zhao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 important on oranges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causing fruit scab but not affecting leaves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also infects fruits of sour oranges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calamondin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natsudaidai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natsudaidai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In contrast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known to occur, in addition to citrus and allies Rutaceae species, on other plant species in different families (e.g. Simmondsiaceae, Salicaceae). In Australia, 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a new pathotype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causing a black scab disease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south-eastern China,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causing a spot anthracnose on poplar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leaves. Poplar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were able to cause scab symptoms on the fruit of one hybrid citrus but not on fruit of orange, lemon, or grapefruit.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a very restricted distribution compared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It originally occurred only in South America (Chung, 2011), but its presence on citrus in southern USA and Asia (Japan and the Republic of Korea) has recently been confirmed.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first detected in Japan in 2012 as the Natsudaidai pathotype on satsuma mandarin, navel orange and a hybrid of natsudaidai and orange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South Korean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also belong to Natsudaidai pathotype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Australia,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reported on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but not on citrus (Miles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In south-eastern China,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detected causing a leaf disease on poplar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is not known to occur on citrus. At present (as of September 2020),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absent from the EPPO region. In the literature, there is an old record from Sicily (Ciccarone, 1957) but the fungus has never been there found again.</w:t>
      </w:r>
    </w:p>
    <w:p>
      <w:r>
        <w:drawing>
          <wp:inline distT="0" distB="0" distL="0" distR="0">
            <wp:extent cx="6120000" cy="3067200"/>
            <wp:docPr id="70910274" name="name76306629dcd725e70" descr="ELSI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AU_distribution_map.jpg"/>
                    <pic:cNvPicPr/>
                  </pic:nvPicPr>
                  <pic:blipFill>
                    <a:blip r:embed="rId50986629dcd725e6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Jiangsu),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Arizona, California, Florida, Louisiana, Mississippi,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Minas Gerais, Rio de Janeiro, Rio Grande do Sul, Sao Paulo), Paraguay,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produces only hyaline, one-celled, elliptical conidia and does not produce spindle-shaped conidia in scab lesions (those are only produced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Survival and infectious ability of conidia are reliant on wet conditions, quickly dying if exposed to dry conditions. Conidia are formed abundantly on wet scabs, in a nearly saturated atmosphere at optimum temperature between 20 and 28°C. Dispersal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mostly by rain or irrigation water. Insects and, to a certain extent, wind-carried water droplets containing spores may also contribute to the spread (CABI, 2020).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low-lying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20-21°C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very uncommon and has been reported only in Brazil (Bitancourt &amp; Jenkins, 1936, 1937).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able to survive in scab pustules on fruits remaining on the tree (Chung, 2011), providing the inoculum for the next season. Even in resistant cultivars, the fungus can survive on diseased shoots sprouting from susceptible rootstocks (Whiteside,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of sweet orange scab vary with age and host plant species. Similar to symptoms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tissues infected with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show erumpent scab pustules (Chung, 2011). In contrast with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which affects all parts of citrus,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affects mostly fruit. Fruits are infected in the early stages of their development, i.e. when not more than 20 mm across. They grow misshapen, becoming scarred and distorted, and are subject to premature fall (CABI, 2020). On the rind of developed fruits, raised lesions are formed with different shapes, sizes and colours according to the species and cultivar affected. They appear as scattered protuberances, conical projections or crater-like outgrowths, or they coalesce to give scabby patches or extensive areas of fine eruptions. Scab lesions do not extend into the albedo.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forms larger, smoother, more circular scabs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scabs, which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Sweet orange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and it is difficult to differentiate it based on symptom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Ascomata pulvinate, globose, dark, pseudoparenchymatous, multilocular, up to 80-120 µm thick. Asci up to 20 per locule, subglobose or ovoid, bitunicate, inner wall thickened at the top, 12-16 µm diameter, eight-spored. Ascospores hyaline, ellipsoidal or oblong-ellipsoidal, with two to four cells, usually constricted at the central septum, 4-8 x 12-20 µm diameter. The sexual form is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5-10 x 2-5 µm. Mycelium hyaline, scanty, septate, short-branched. Colonies in culture rose to purple coloured, and clearly raised above the agar surface and covered by tufts of short erect hyphae.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E. australis </w:t>
      </w:r>
      <w:r>
        <w:rPr>
          <w:rFonts w:ascii="Calibri" w:hAnsi="Calibri" w:eastAsia="Calibri" w:cs="Calibri"/>
          <w:color w:val="000000"/>
          <w:sz w:val="22"/>
          <w:szCs w:val="22"/>
        </w:rPr>
        <w:t xml:space="preserve">grow slowly in culture, lack extensive aerial hyphae and often produce red or brown pigments (Sivanesan &amp; Critchett, 1974a, b, c).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cannot be based solely on the visual observation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In addition,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pathologically separated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by its inability to infect citrus leaves. The possibility of using immunochemical methods for pathogen detection has been also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and partially resolved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designed and successfully used for detecting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trade of citrus fruits, originating in infested countries, may favour long-distance movement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Local and short-distance dissemination of the pathogen in orchards is mostly via rain (or irrigation water), although insects and, to a certain extent, wind-carried water droplets containing spores may contribute to the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economically more significant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as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all sweet orange cultivars as well as some tangerines and their hybrids which are widely grown. Severely infected fruits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controlled both in the nursery and in the orchard by agricultural practices, sanitation,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ventilation within the orchard. Sanitation measures represent the most effective strategy for scab management and aim to eliminate inoculum sources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through removal of symptomatic fruits and even destruction of all diseased trees. In countries where the disease occurs, chemical control is widely used and several synthetic fungicides such as benomyl, thiophanate methyl, azoxystrobin, trifloxystrobin, pyraclostrobin, ferbam, as well as copper compounds have been proven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to avoid the development of resistance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For example, benomyl-tolerant strains of the pathogen have been found (Whiteside,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fruits from countries where the pathogen is present may present a risk of introduction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infected citrus fruit, restrictions on fruit trade are usually implemented in the EPPO region. It can be requested that fruit should originate from pest-free areas or from pest-free places of production as demonstrated by crop inspections and laboratory testing prior to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Ash GJ, Stodart B, Hyun JW (2012) Black scab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caused by a putative new pathotype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96(5), 629-634.</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Perfect stage of the sweet orange fruit scab fungus.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28(5)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(1937) Sweet orange fruit scab caused by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ë</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w:t>
      </w:r>
      <w:hyperlink r:id="rId10506629dcd727099" w:history="1">
        <w:r>
          <w:rPr>
            <w:rFonts w:ascii="Calibri" w:hAnsi="Calibri" w:eastAsia="Calibri" w:cs="Calibri"/>
            <w:color w:val="0000CC"/>
            <w:sz w:val="22"/>
            <w:szCs w:val="22"/>
            <w:u w:val="single"/>
          </w:rPr>
          <w:t xml:space="preserve">https://www.cabi.org/cpc/datasheet/20777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Ciccarone A (1957)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Bitancourt et Jenkins, causing a citrus scab in Sicily]. </w:t>
      </w:r>
      <w:r>
        <w:rPr>
          <w:rFonts w:ascii="Calibri" w:hAnsi="Calibri" w:eastAsia="Calibri" w:cs="Calibri"/>
          <w:i/>
          <w:iCs/>
          <w:color w:val="000000"/>
          <w:sz w:val="22"/>
          <w:szCs w:val="22"/>
        </w:rPr>
        <w:t xml:space="preserve">Rivista di Agrumicoltura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1-36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Research and Reviews: 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SH, Mac 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Peres NA, Yi SY, Timmer LW, Kim KS, Kwon HM, Lim HC (2007) Development of PCR assays for the identification of species and pathotypes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on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865-870. </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Timmer LW, Lee, S-C, Yun SH, Ko SW, Kim KS (2001) Pathological characterization and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isolates causing scab diseases of citrus in Jeju Island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85, </w:t>
      </w:r>
      <w:r>
        <w:rPr>
          <w:rFonts w:ascii="Calibri" w:hAnsi="Calibri" w:eastAsia="Calibri" w:cs="Calibri"/>
          <w:color w:val="000000"/>
          <w:sz w:val="22"/>
          <w:szCs w:val="22"/>
        </w:rPr>
        <w:t xml:space="preserve"> 1013-1017.</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 by Reuther,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Shivas RG, Drenth A (2015) Novel pathotypes of Elsinoë australis associated with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w:t>
      </w:r>
      <w:r>
        <w:rPr>
          <w:rFonts w:ascii="Calibri" w:hAnsi="Calibri" w:eastAsia="Calibri" w:cs="Calibri"/>
          <w:i/>
          <w:iCs/>
          <w:color w:val="000000"/>
          <w:sz w:val="22"/>
          <w:szCs w:val="22"/>
        </w:rPr>
        <w:t xml:space="preserve">,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USA.</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L, Xiao H, Ma X, Cheng Q. (2020)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causing spot anthracnose on poplar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2202-2209. </w:t>
      </w:r>
      <w:hyperlink r:id="rId71556629dcd727f46" w:history="1">
        <w:r>
          <w:rPr>
            <w:rFonts w:ascii="Calibri" w:hAnsi="Calibri" w:eastAsia="Calibri" w:cs="Calibri"/>
            <w:color w:val="0000CC"/>
            <w:sz w:val="22"/>
            <w:szCs w:val="22"/>
            <w:u w:val="single"/>
          </w:rPr>
          <w:t xml:space="preserve">https://doi.org/10.1094/pdis-11-19-2349-re</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EPPO datasheets on pests recommended for regulation. Available online. </w:t>
      </w:r>
      <w:hyperlink r:id="rId49046629dcd72803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CABI/EPPO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4608845" name="name72946629dcd72826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596629dcd72826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104372">
    <w:multiLevelType w:val="hybridMultilevel"/>
    <w:lvl w:ilvl="0" w:tplc="44828513">
      <w:start w:val="1"/>
      <w:numFmt w:val="decimal"/>
      <w:lvlText w:val="%1."/>
      <w:lvlJc w:val="left"/>
      <w:pPr>
        <w:ind w:left="720" w:hanging="360"/>
      </w:pPr>
    </w:lvl>
    <w:lvl w:ilvl="1" w:tplc="44828513" w:tentative="1">
      <w:start w:val="1"/>
      <w:numFmt w:val="lowerLetter"/>
      <w:lvlText w:val="%2."/>
      <w:lvlJc w:val="left"/>
      <w:pPr>
        <w:ind w:left="1440" w:hanging="360"/>
      </w:pPr>
    </w:lvl>
    <w:lvl w:ilvl="2" w:tplc="44828513" w:tentative="1">
      <w:start w:val="1"/>
      <w:numFmt w:val="lowerRoman"/>
      <w:lvlText w:val="%3."/>
      <w:lvlJc w:val="right"/>
      <w:pPr>
        <w:ind w:left="2160" w:hanging="180"/>
      </w:pPr>
    </w:lvl>
    <w:lvl w:ilvl="3" w:tplc="44828513" w:tentative="1">
      <w:start w:val="1"/>
      <w:numFmt w:val="decimal"/>
      <w:lvlText w:val="%4."/>
      <w:lvlJc w:val="left"/>
      <w:pPr>
        <w:ind w:left="2880" w:hanging="360"/>
      </w:pPr>
    </w:lvl>
    <w:lvl w:ilvl="4" w:tplc="44828513" w:tentative="1">
      <w:start w:val="1"/>
      <w:numFmt w:val="lowerLetter"/>
      <w:lvlText w:val="%5."/>
      <w:lvlJc w:val="left"/>
      <w:pPr>
        <w:ind w:left="3600" w:hanging="360"/>
      </w:pPr>
    </w:lvl>
    <w:lvl w:ilvl="5" w:tplc="44828513" w:tentative="1">
      <w:start w:val="1"/>
      <w:numFmt w:val="lowerRoman"/>
      <w:lvlText w:val="%6."/>
      <w:lvlJc w:val="right"/>
      <w:pPr>
        <w:ind w:left="4320" w:hanging="180"/>
      </w:pPr>
    </w:lvl>
    <w:lvl w:ilvl="6" w:tplc="44828513" w:tentative="1">
      <w:start w:val="1"/>
      <w:numFmt w:val="decimal"/>
      <w:lvlText w:val="%7."/>
      <w:lvlJc w:val="left"/>
      <w:pPr>
        <w:ind w:left="5040" w:hanging="360"/>
      </w:pPr>
    </w:lvl>
    <w:lvl w:ilvl="7" w:tplc="44828513" w:tentative="1">
      <w:start w:val="1"/>
      <w:numFmt w:val="lowerLetter"/>
      <w:lvlText w:val="%8."/>
      <w:lvlJc w:val="left"/>
      <w:pPr>
        <w:ind w:left="5760" w:hanging="360"/>
      </w:pPr>
    </w:lvl>
    <w:lvl w:ilvl="8" w:tplc="44828513" w:tentative="1">
      <w:start w:val="1"/>
      <w:numFmt w:val="lowerRoman"/>
      <w:lvlText w:val="%9."/>
      <w:lvlJc w:val="right"/>
      <w:pPr>
        <w:ind w:left="6480" w:hanging="180"/>
      </w:pPr>
    </w:lvl>
  </w:abstractNum>
  <w:abstractNum w:abstractNumId="31104371">
    <w:multiLevelType w:val="hybridMultilevel"/>
    <w:lvl w:ilvl="0" w:tplc="43087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104371">
    <w:abstractNumId w:val="31104371"/>
  </w:num>
  <w:num w:numId="31104372">
    <w:abstractNumId w:val="311043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3911611" Type="http://schemas.microsoft.com/office/2011/relationships/commentsExtended" Target="commentsExtended.xml"/><Relationship Id="rId530564219" Type="http://schemas.microsoft.com/office/2011/relationships/people" Target="people.xml"/><Relationship Id="rId49646629dcd7246bf" Type="http://schemas.openxmlformats.org/officeDocument/2006/relationships/hyperlink" Target="https://gd.eppo.int/taxon/ELSIAU/" TargetMode="External"/><Relationship Id="rId41236629dcd724709" Type="http://schemas.openxmlformats.org/officeDocument/2006/relationships/hyperlink" Target="https://gd.eppo.int/taxon/ELSIAU/categorization" TargetMode="External"/><Relationship Id="rId10506629dcd727099" Type="http://schemas.openxmlformats.org/officeDocument/2006/relationships/hyperlink" Target="https://www.cabi.org/cpc/datasheet/20777" TargetMode="External"/><Relationship Id="rId71556629dcd727f46" Type="http://schemas.openxmlformats.org/officeDocument/2006/relationships/hyperlink" Target="https://doi.org/10.1094/pdis-11-19-2349-re" TargetMode="External"/><Relationship Id="rId49046629dcd728034" Type="http://schemas.openxmlformats.org/officeDocument/2006/relationships/hyperlink" Target="https://gd.eppo.int" TargetMode="External"/><Relationship Id="rId50986629dcd725e6d" Type="http://schemas.openxmlformats.org/officeDocument/2006/relationships/image" Target="media/imgrId50986629dcd725e6d.jpg"/><Relationship Id="rId61596629dcd72826c" Type="http://schemas.openxmlformats.org/officeDocument/2006/relationships/image" Target="media/imgrId61596629dcd72826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