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Gymnandrosoma aurantianum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Gymnandrosoma aurantianum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torticornis</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Ecdytolopha aurantiana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aurantianum</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torticornis</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fruit borer, macadamia nut borer</w:t>
            </w:r>
            <w:hyperlink r:id="rId942369f01f022632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606569f01f022636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ECDYAU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016407" name="name540969f01f0227df9" descr="12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64.jpg"/>
                          <pic:cNvPicPr/>
                        </pic:nvPicPr>
                        <pic:blipFill>
                          <a:blip r:embed="rId525669f01f0227df7" cstate="print"/>
                          <a:stretch>
                            <a:fillRect/>
                          </a:stretch>
                        </pic:blipFill>
                        <pic:spPr>
                          <a:xfrm>
                            <a:off x="0" y="0"/>
                            <a:ext cx="2160000" cy="1281600"/>
                          </a:xfrm>
                          <a:prstGeom prst="rect">
                            <a:avLst/>
                          </a:prstGeom>
                          <a:ln w="0">
                            <a:noFill/>
                          </a:ln>
                        </pic:spPr>
                      </pic:pic>
                    </a:graphicData>
                  </a:graphic>
                </wp:inline>
              </w:drawing>
            </w:r>
            <w:hyperlink r:id="rId788269f01f02283a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In addition to the name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the synonyms </w:t>
      </w:r>
      <w:r>
        <w:rPr>
          <w:rFonts w:ascii="Calibri" w:hAnsi="Calibri" w:eastAsia="Calibri" w:cs="Calibri"/>
          <w:i/>
          <w:iCs/>
          <w:color w:val="000000"/>
          <w:sz w:val="22"/>
          <w:szCs w:val="22"/>
        </w:rPr>
        <w:t xml:space="preserve">Ecdytolopha aurantianum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are widely used in the literature (EPPO, 2020). Morphological and host differences were observed between the specimens in Costa Rica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in other parts of its range. For example, the pest has only been reported infesting macadamia in Costa Rica, despite the fact that other known hosts are present in areas where the pest occurs (Blanco-Metzler, 1994; Blanco-Metzler, pers. comm. 2019). It is not known if these differences are biological and ecological or relate to the existence of a complex of species (EPPO, 2020). To date (2021–11),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is treated as a synonym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as formalized in Adamski and Brown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has been recorded on a wide range of woody or herbaceous fruit plants, cultivated or in the wild, from various families. Many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confirmed hosts. When impact is mentioned in the recent literature, it relates mainly to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and sacha inchi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It is worth noting that some hosts are only recorded in older literature and do not appear in recent literature on outbreaks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make the hypothesis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passed from native hosts to exotic cultivated hosts, such as macadamia in Costa Rica (Blanco-Metzler, 1994). Owing to the wide host range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the fact that it has passed on to new hosts in the Americas, it is not excluded that it may be able to attack other fruit plants if the fruit is suitable for its development, including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that are currently not recorded as hosts (EPPO,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Cojoba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vernalis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recorded in most countries of Central and South America, as well as in Mexico and in a few countries of the Caribbean. As of 2021, its distribution extends between latitudes from ca. 19°N to 34°S (i.e. northern Argentina in the South). The current distribution and pest status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known for a number of countries as for these cases little information has been published or records date from the start of the 1900s (including Bolivia, Cuba, French Guiana, Honduras, Mexico, Nicaragua, Panama and Suriname; EPPO, 2020) </w:t>
      </w:r>
    </w:p>
    <w:p>
      <w:r>
        <w:drawing>
          <wp:inline distT="0" distB="0" distL="0" distR="0">
            <wp:extent cx="6120000" cy="3067200"/>
            <wp:docPr id="77890729" name="name887069f01f022c921" descr="ECDY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DYAU_distribution_map.jpg"/>
                    <pic:cNvPicPr/>
                  </pic:nvPicPr>
                  <pic:blipFill>
                    <a:blip r:embed="rId624769f01f022c9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Costa Rica, Cuba, Dominican Republic, El Salvador, Guatemala, Honduras,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Distrito Federal, Espirito Santo, Goias, Maranhao, Mato Grosso, Minas Gerais, Para, Parana, Rio de Janeiro, Rio Grande do Sul, Rondonia, Santa Catarina, Sao Paulo), Colombia, Ecuador, French Guiana,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duration of the life cycle reported in the literature ranges from 27 to 96  days, and it varies with the attacked host and variety, fruit maturity, temperature and relative humidity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White, 1999 citing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seven to eight generations per year in different regions (Fundecitrus, 2007). In experiments on macadamia in the laboratory, the life cycle lasted 36 days at 23°C and 80% relative humidity, and it was noted that there may be up to 10 generations per year in favorable environmental conditions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On P.  volubilis, the average life cycle took 73 days (Leandro, 2012). In part of its range, where fruit of suitable development stages are available year round and the climatic conditions are favourable,</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present in the crops year round, for example in Citrusgrowing regions of Brazil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macadamia crops in Guatemala (Primo Miranda, 2003 citing Reyna, 1992) and in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crops in Peru (Leandro, 2012).</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mostly active at dusk and at dawn (BlancoMetzler, 1994;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Mating and egg-laying occur a few days after emergence. In laboratory experiments on Citrus, an average pre-oviposition period of 2–3 days was observed and egg laying lasted for 11 days on average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Garcia, 1998). The reported fecundity of females varies widely, from 2–74 eggs per female in experiments on macadamia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to 140–200 eggs per female in experiments on artificial diet (Garcia &amp; Parra, 1999).</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normally oviposited on the surface of the fruit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females usually lay only one egg per fruit (Vianna, 2015; Arthur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 low pest population levels, ripe fruits are preferred, while different maturation stages including green fruit may be attacked at high population levels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Green fruits may also be attacked in early infestations (Fundecitrus, 2007). On macadamia, eggs are laid individually on the surface of nuts and females prefer immature nuts (with soft shells). The majority of infested nuts have one or two eggs laid on them, but up to eight eggs per nut have been recorded. Larvae are mostly found singly, but when the pest is abundant, it is possible to find up to three or four larvae in a nut, usually at different instar stages (Blanco-Metzler, 1994).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there was only one larva per fruit in 75% of infested fruit, and two or three larvae in the remaining 25% (Leandro, 2012). Finally, on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the pest mainly attacks fruits when they start changing colour to ripe fruit, but green fruits are also attacked; there may be over 20 entry holes per fruit (Nakayama,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hatching, larvae enter the fruit within a few hours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Carvalho, 2003).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within 2–3 days of entry, excrement appears on the rind of the fruit at the entrance hole (Vianna, 2015). On macadamia, larvae feed mainly on the husk, but if the shell has not hardened they tunnel into the kernel (Blanco-Metzler, 1994). In most hosts, larvae remain in the fruit they first enter, but on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they are reported to move to nearby fruit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probably because there are insufficient resources in one fruit (small fruit with little flesh;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pupation occurs mostly in the soil at the base of the plant, and occasionally in other places such as in the fruit (White &amp; Tuck, 1993;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Larvae produce a thread on which they descend to the ground (Fundecitrus, 2007). In laboratory experiments,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found to pupate between 0 and 1.5 cm depth, in both humid and dry substrates (Bento, 2008). On macadamia, pupae are mostly found in the nuts or in a cocoon spun by larvae between several nuts in a cluster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Blanco-Metzler,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An average temperature of 30°C is reported as being the most suitable for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development in Brazil (Fundecitrus, 2007). Viability experiments conducted at 18–32°C are summarized in Parra (2016, based on Garcia, 1998), and male abundance at different temperatures in Reis Jr.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relative humidity of 30–50% decreases the longevity and oviposition capacity of adults (Gómez Torres, 2005 citing Garcia 1998; Leite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In dry seasons, there may be a high abundance of adults (i.e. males trapped) but no damage observed on fruit because the oviposition capacity is reduced at relative humidities below 50% (Fundecitrus,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are on fruit. At early stages of infestation, symptoms are not readily visible externally. In particular, eggs are small and there is often only one egg per fruit. The entry hole is also minute (ca. 1.5  mm on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Symptoms become visible at later stages of infestation.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infestation may cause abnormal coloration, necrotic or bleached areas at the entry hole and fruit fall (White &amp; Tuck, 1993; Fundecitrus, 2007). Discoloration of fruit and rot are reported in several hosts such as </w:t>
      </w:r>
      <w:r>
        <w:rPr>
          <w:rFonts w:ascii="Calibri" w:hAnsi="Calibri" w:eastAsia="Calibri" w:cs="Calibri"/>
          <w:i/>
          <w:iCs/>
          <w:color w:val="000000"/>
          <w:sz w:val="22"/>
          <w:szCs w:val="22"/>
        </w:rPr>
        <w:t xml:space="preserve">P.  volubilis, M.  bijugatus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(Leandro, 2012;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Nakayama, 2018). Frass may be seen extruding from the hole and sticking to the fruit surface (Fundecitrus, 2007, 2019). On macadamia, the entry hole may be enlarged and frass may emerge from the entry hole. If pupae are in the nuts, close to adult emergence, one-third of their body protrudes from the nut (Blanco-Metzler,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ca. 1.2 mm long, flattened and circular to ovoid in shape, pale white, darkening to reddish-brown as development occurs (Blanco-Metzler,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eruciform, 5  mm long (newly hatched larvae) to ca. 15–19 mm long (mature larvae). The body is pale yellow and the head pale yellow to pale orange with a red-brown patch (Adamski &amp; Brown, 2001; Yamamoto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Prates &amp; Pinto, 1988, 1991). There are four to five larval instars (Blanco-Metzler, 1994; Gómez Torres, 2005 citing Garcia, 1998). Larvae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 be distinguished from those of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by the distance between various setae (details in Gilligan &amp; Epstein, 2014). A setal map is given in Adamski and Brown (2001).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larvae and a description of last instar larvae of</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are provided in Adamski and Brown (2001). Brown (2011) provides an online interactive tool to determine if a larvae is a Tortricidae and its possible identity (based on species intercepted in the USA) depending on the host fruit and its geographical origin (</w:t>
      </w:r>
      <w:hyperlink r:id="rId991569f01f022d3b9" w:history="1">
        <w:r>
          <w:rPr>
            <w:rFonts w:ascii="Calibri" w:hAnsi="Calibri" w:eastAsia="Calibri" w:cs="Calibri"/>
            <w:color w:val="0000CC"/>
            <w:sz w:val="22"/>
            <w:szCs w:val="22"/>
            <w:u w:val="single"/>
          </w:rPr>
          <w:t xml:space="preserve">http://idtools.org/id/leps/tortai/keys/TortAILarv ae.html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fusiform, 9–12  mm long and 2.5–3  mm wide, rounded at both extremities (Adamski &amp; Brown, 2001). Pupae are first pale yellow, becoming brown (Blanco-Metzler, 1994). Pupae of different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cannot be distinguished (Adamski &amp; Brown,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 10  mm long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 a wingspan of ca. 11–18 mm (White &amp; Tuck, 1993; Molet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They are brown with indistinct reddish-brown and black markings. Most individuals  have a conspicuous white dot on the distal one-third of the forewing (Gilligan &amp; Epstein, 2014). Males can be distinguished from other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through external characteristics (on antenna and tibia), while females need to be dissected (Gilligan &amp; Epstein, 2014).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adults and a description of adults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provided in Adamski and Brown (2001). Illustrated nomenclature of adult genitalia can be found in Adamski and Brown (2001) and Gilligan and Epstein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identified and pheromone traps have been commercially available in Brazil since 2002 (Leal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Details on monitoring using pheromone traps are provided in the EPPO pest risk analysis (EPPO, 2020). The presence of adults is otherwise not easy to detect visually in the field (small size, remain inactive on the plant during the day, mimetic on branches;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fruit are difficult to detect at early stages of infestation and low levels of infestation (USDA, 2003).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other fruit, frass extruding from the entry hole is a good indicator of the presence of the pest (Batista Pereira, 2008; Vianna, 2015).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detected in consignments of fruit in trade and in fruits carried by passengers. Symptoms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are quite similar to those of fruit flies; however, the main difference is that the frass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hardens in the rind, while the site of damage by fruit flies is soft and rotted (Fundecitrus, 2007,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can be identified based on the morphology of adults and larvae (Adamski &amp; Brown, 2001) and taxonomic expertise on the family Tortricidae is needed to confirm identification (Gilligan &amp; Epstein, 2014). The pest is very similar to other species in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w:t>
      </w:r>
      <w:r>
        <w:rPr>
          <w:rFonts w:ascii="Calibri" w:hAnsi="Calibri" w:eastAsia="Calibri" w:cs="Calibri"/>
          <w:color w:val="000000"/>
          <w:sz w:val="22"/>
          <w:szCs w:val="22"/>
        </w:rPr>
        <w:t xml:space="preserve">, and there have been cases of misidentification with other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or other Tortricidae (Adamski &amp; Brown, 2001).</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molecular identification, barcodes are available for several specimens from various countries (</w:t>
      </w:r>
      <w:hyperlink r:id="rId414169f01f022d784" w:history="1">
        <w:r>
          <w:rPr>
            <w:rFonts w:ascii="Calibri" w:hAnsi="Calibri" w:eastAsia="Calibri" w:cs="Calibri"/>
            <w:color w:val="0000CC"/>
            <w:sz w:val="22"/>
            <w:szCs w:val="22"/>
            <w:u w:val="single"/>
          </w:rPr>
          <w:t xml:space="preserve">http://v4.boldsystems.org/</w:t>
        </w:r>
      </w:hyperlink>
      <w:r>
        <w:rPr>
          <w:rFonts w:ascii="Calibri" w:hAnsi="Calibri" w:eastAsia="Calibri" w:cs="Calibri"/>
          <w:color w:val="000000"/>
          <w:sz w:val="22"/>
          <w:szCs w:val="22"/>
        </w:rPr>
        <w:t xml:space="preserve">). There are also sequences from several specimens of other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in GenBank. However, it is not clear if the data available would be sufficient for a reliable molecular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 is the most likely pathway for spread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either in trade or in passenger luggage.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known to be mostly associated with crops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macadamia 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depending on the origin of the fruit. However, it has been intercepted in a wider range of fruit, such as </w:t>
      </w:r>
      <w:r>
        <w:rPr>
          <w:rFonts w:ascii="Calibri" w:hAnsi="Calibri" w:eastAsia="Calibri" w:cs="Calibri"/>
          <w:i/>
          <w:iCs/>
          <w:color w:val="000000"/>
          <w:sz w:val="22"/>
          <w:szCs w:val="22"/>
        </w:rPr>
        <w:t xml:space="preserve">Psidium guajava, B.  crassifolia, Punica granatum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(for exhaustive lists, see EPPO, 2020). In trade, packaging associated with fruit may carry pupae if larvae pupate during transport or storage. It is worth noting that association with nuts of the major host macadamia is very unlikely in trade, because macadamia nuts are normally commercialized after processing, and trading macadamia nuts fresh with husks is not a known practice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 Although fruit carried by passengers may contain larvae, transfer to a host would be difficult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to the EPPO region on host plants for planting as low. Eggs and larvae may be present on the plant only if there are fruit, which is unlikely for young plants traded internationally, and pupae may be present in the soil or growing medium only if the plant had already borne fruit. Any phytosanitary requirements commonly made regarding dormancy, sanitation or replacement of soil or growing medium associated with plants, and the absence of fruit, would lower the likelihood of association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Nevertheless, plants for planting may contribute to spread within the EPPO region once introduced, as they may not be subject to similar requirements and, if a nursery producing plants for planting with fruit was infested, there may be many larvae in fruit, or pupae in the soil or growing medium. There are no detailed data on the dispersal capacity of adults, but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reported to be a poor flier with limited flight activity (Batista Pereira, 2008; Blanco-Metzler, 1994 citing Chamberlain, 1989). If the pest is introduced in the EPPO region, flight may contribute to local spread from orchard to orchard. In part of the EPPO region (especially the Mediterranean area), there is a widespread presence of host fruit trees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peach and tropical hosts, which could facilitate such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damage is caused by larvae feeding in the fruit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Fundecitrus, 2007;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may also reach the seeds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macadamia, Blanco-Metzler, 1994;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Indirect damage is due to secondary infestation of larval galleries by other organisms, such as fungi, bacteria, beetles, fruit flies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Gilligan &amp; Epstein, 2014;</w:t>
      </w:r>
      <w:r>
        <w:rPr>
          <w:rFonts w:ascii="Calibri" w:hAnsi="Calibri" w:eastAsia="Calibri" w:cs="Calibri"/>
          <w:i/>
          <w:iCs/>
          <w:color w:val="000000"/>
          <w:sz w:val="22"/>
          <w:szCs w:val="22"/>
        </w:rPr>
        <w:t xml:space="preserve"> B. crassifolia</w:t>
      </w:r>
      <w:r>
        <w:rPr>
          <w:rFonts w:ascii="Calibri" w:hAnsi="Calibri" w:eastAsia="Calibri" w:cs="Calibri"/>
          <w:color w:val="000000"/>
          <w:sz w:val="22"/>
          <w:szCs w:val="22"/>
        </w:rPr>
        <w:t xml:space="preserve">,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macadamia, Primo Miranda, 2003), which cause the fruit or nut to rot or fall prematurely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Fundecitrus, 2007; Cabrera-Asencio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type of damage is not documented for all hosts, but is probably similar (damage to fruit flesh and seeds, fruit rot, secondary infestation by other organisms, possibly premature fall). Economic impact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on fruit production has been reported in Central and South America. For most hosts, once larvae have entered the fruit, it becomes unsuitable for consumption, commercialization and processing (Citrus,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superficial damage does not prevent the use of macadamia fruit (Blanco-Metzler, 1994) or seeds of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The occurrence of the pest can also have consequences for export (Garcia &amp; Parra, 1999).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a quarantine pest for several countries, with phytosanitary requirements mostly relating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or macadamia.</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is well documented from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first observed causing damage in São Paulo State in 1915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Lima, 1927). It remained a minor pest until the end of the 1980s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then became a limiting factor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In São Paulo State, damage was estimated at 50  million USD per year during the 1990s and yield losses up to 50% were reported (Anonymous, 2016;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Following the implementation of a new IPM strategy based on pheromone traps, losses were reduced by on average to 0.6–1 fruit per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plant in São Paulo and Minas Gerais (Bento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2004 citing Carvalho, 2003).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also been reported as a pest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Ecuador (Noboa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and there are older records of severe infestations in Argentina at the end of the 1930s (Lima, 1945), and at the beginning of the 1990s in Trinidad (White, 1999). In Uruguay,</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mentioned as being occasional and not of potential economic importance (COSAVE-IICA, 1999), with infestations limited to isolated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in domestic groves (USDA, 2012 citing Bentancourt and Scatoni, 2006).</w:t>
      </w:r>
    </w:p>
    <w:p>
      <w:pPr>
        <w:widowControl w:val="on"/>
        <w:pBdr/>
        <w:spacing w:before="220" w:after="220" w:line="240" w:lineRule="auto"/>
        <w:ind w:left="0" w:right="0"/>
        <w:jc w:val="both"/>
      </w:pPr>
      <w:r>
        <w:rPr>
          <w:rFonts w:ascii="Calibri" w:hAnsi="Calibri" w:eastAsia="Calibri" w:cs="Calibri"/>
          <w:color w:val="000000"/>
          <w:sz w:val="22"/>
          <w:szCs w:val="22"/>
        </w:rPr>
        <w:t xml:space="preserve">On macadamia, damage from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(then known as</w:t>
      </w:r>
      <w:r>
        <w:rPr>
          <w:rFonts w:ascii="Calibri" w:hAnsi="Calibri" w:eastAsia="Calibri" w:cs="Calibri"/>
          <w:i/>
          <w:iCs/>
          <w:color w:val="000000"/>
          <w:sz w:val="22"/>
          <w:szCs w:val="22"/>
        </w:rPr>
        <w:t xml:space="preserve"> E. torticornis</w:t>
      </w:r>
      <w:r>
        <w:rPr>
          <w:rFonts w:ascii="Calibri" w:hAnsi="Calibri" w:eastAsia="Calibri" w:cs="Calibri"/>
          <w:color w:val="000000"/>
          <w:sz w:val="22"/>
          <w:szCs w:val="22"/>
        </w:rPr>
        <w:t xml:space="preserve">) in Costa Rica was first observed in 1986 and maximum nut damage progressively increased to reach ca. 40% (Blanco-Metzler, 1994 citing Lara 1987;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citing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strategies have reduced the impact of the pest below its economic damage threshold (H. Blanco-Metzler, pers. comm., 2019). Damage on macadamia was also reported in Guatemala (Primo Miranda, 2003), Colombia (García, 2005), Venezuela (Briceño &amp; Sharkey, 2000 citing Arizaleta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and recently in Brazil (Soares de Matos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Theobroma cacao, G. aurantianum</w:t>
      </w:r>
      <w:r>
        <w:rPr>
          <w:rFonts w:ascii="Calibri" w:hAnsi="Calibri" w:eastAsia="Calibri" w:cs="Calibri"/>
          <w:color w:val="000000"/>
          <w:sz w:val="22"/>
          <w:szCs w:val="22"/>
        </w:rPr>
        <w:t xml:space="preserve"> has been reported as a pest in Venezuela (Delgado Puchi, 2005), Colombia (Muñoz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and recently Brazil (Nakayama, 2018). Economic impact has also been reported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in Peru (Leandro, 2012). Information on impact is not available from many countries where the pest occurs, and for many hosts. It is possible that in some countries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present in commercial fruit production, and only attacks native hosts or fruit hosts in other situations (native environment, gardens, parks, urban areas,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well documented for Citrus crops in Brazil. In the 1980s, control relied on the application of pesticides when attacked fruits were observed, which did not control the pest and eliminated natural enemies, thereby increasing losses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 the beginning of the 2000s, the sex pheromone was identified, and an alternative strategy was developed, based on the application of microbial or chemical sprays when a threshold of males in pheromone traps is reached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total volume of insecticides sprayed in the monitored areas decreased by at least 50% (Parra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Parasitoids and predators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documented (Briceño &amp; Sharkey, 2000; Gómez Torres, 2005; Leite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Batista Pereira, 2008;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natural enemies have a role in controlling the pest in the field. However, natural enemies are apparently not being actively released in the framework of biological control strategies. Cultural control is used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in Brazil in addition to chemical control, and is effective on its own in macadamia crops in Costa Rica.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measures include collecting and destroying infested fruit on the ground and on trees (Fundecitrus, 2019), early harvest in case of attack to avoid the build-up of populations (Fundecitrus, 2007, 2019) and avoiding planting fruit-bearing hosts within a radius of 400 m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(Batista Pereira, 2008). In macadamia crops, control relies on monitoring, replacement of susceptible clones and more frequent harvest to avoid completion of the life cycle. Finally, macadamia husks are traditionally disposed of on the ground in the orchards after nut processing, but this favours infestations and should be avoided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a main host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has a high economic importance in the EPPO region. The EPPO PRA determined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may pose a risk in areas where host fruits are present all year round, where climatic conditions are suitable and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grown (i.e. on the Mediterranean coast, southern Portugal and the Atlantic coast of Morocco, as well as part of northern Italy, the Balkans and the Black sea area) (EPPO, 2020). In such areas, economic impact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may be initially as high as that seen in Brazil, depending on how early the pest is detected, but an IPM programme using pheromone traps could be developed based on that in Brazil. Many hosts, such as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to a lesser extent tropical fruit hosts (such as </w:t>
      </w:r>
      <w:r>
        <w:rPr>
          <w:rFonts w:ascii="Calibri" w:hAnsi="Calibri" w:eastAsia="Calibri" w:cs="Calibri"/>
          <w:i/>
          <w:iCs/>
          <w:color w:val="000000"/>
          <w:sz w:val="22"/>
          <w:szCs w:val="22"/>
        </w:rPr>
        <w:t xml:space="preserve">Annona cherimola, Averrhoa carambola, Macadamia integrifolia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are present in the EPPO region, which may increase economic impact and integrated strategies may need to be adapted.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attacked new hosts in the Americas, and may also pass on to new hosts in the EPPO region. Finally, the presence of this pest in the EPPO region may affect export markets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2020) recommended phytosanitary measures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with options such as pestfree area, pest-free place of production and pest-free production site. In addition, a systems approach was recommended, combining visual inspection in the field (with cutting of representative samples of fallen fruit), treatment of the crop based on monitoring with pheromone traps, visual examination at harvest and during handling/ packing of the consignment and visual inspection at export (with cutting of representative samples of fruit). In addition, only new or cleaned packaging should be used to avoid the presence of pupae. Such measures can also be considered for other host fruit if necessary. It is worth noting that no treatment can currently be recommended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or other host fruit. In particular, no cold treatment schedule is available against this pest. As for many fruit pests, the separation of fruit imports and production is important (see Pathways for movement). Measures such as awareness and checks may be applied to travellers’ luggage to prevent entry with fruit, and to a lesser extent with plants for planting. The pest is less likely to enter on host plants for planting in trade and measures were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Adamski D &amp; Brown JW (2001) Systematic revision of the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group of genera (Lepidoptera: Tortricidae: Grapholitini) in the New World. </w:t>
      </w:r>
      <w:r>
        <w:rPr>
          <w:rFonts w:ascii="Calibri" w:hAnsi="Calibri" w:eastAsia="Calibri" w:cs="Calibri"/>
          <w:i/>
          <w:iCs/>
          <w:color w:val="000000"/>
          <w:sz w:val="22"/>
          <w:szCs w:val="22"/>
        </w:rPr>
        <w:t xml:space="preserve">Entomologica Scandinavica Supplement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Armadilha de Bicho Furão Evitou Perda de US$ 1 BI. </w:t>
      </w:r>
      <w:r>
        <w:rPr>
          <w:rFonts w:ascii="Calibri" w:hAnsi="Calibri" w:eastAsia="Calibri" w:cs="Calibri"/>
          <w:i/>
          <w:iCs/>
          <w:color w:val="000000"/>
          <w:sz w:val="22"/>
          <w:szCs w:val="22"/>
        </w:rPr>
        <w:t xml:space="preserve">Citricultor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V, Arthur PB &amp; Machi AR (2016) Irradiation of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pupae in oxygen requires a lower dose to strongly reduce adult emergence and prevent reproduction than irradiation in air.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38–42.</w:t>
      </w:r>
    </w:p>
    <w:p>
      <w:pPr>
        <w:widowControl w:val="on"/>
        <w:pBdr/>
        <w:spacing w:before="220" w:after="220" w:line="240" w:lineRule="auto"/>
        <w:ind w:left="0" w:right="0"/>
        <w:jc w:val="left"/>
      </w:pPr>
      <w:r>
        <w:rPr>
          <w:rFonts w:ascii="Calibri" w:hAnsi="Calibri" w:eastAsia="Calibri" w:cs="Calibri"/>
          <w:color w:val="000000"/>
          <w:sz w:val="22"/>
          <w:szCs w:val="22"/>
        </w:rPr>
        <w:t xml:space="preserve">Batista Pereira LG (2008) Dossiê Técnico. Minador-das-Folhas-dos-Citros e Bichofurão: Pragas de Importância Econômica da Cultura do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 Retrieved from </w:t>
      </w:r>
      <w:hyperlink r:id="rId752769f01f022e5ff" w:history="1">
        <w:r>
          <w:rPr>
            <w:rFonts w:ascii="Calibri" w:hAnsi="Calibri" w:eastAsia="Calibri" w:cs="Calibri"/>
            <w:color w:val="0000CC"/>
            <w:sz w:val="22"/>
            <w:szCs w:val="22"/>
            <w:u w:val="single"/>
          </w:rPr>
          <w:t xml:space="preserve">http://www.respo statecnica.org.br</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Bento FMM (2008) Influência da umidade em quatro tipos de solo nel desenvolvimento pupal de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1824), </w:t>
      </w:r>
      <w:r>
        <w:rPr>
          <w:rFonts w:ascii="Calibri" w:hAnsi="Calibri" w:eastAsia="Calibri" w:cs="Calibri"/>
          <w:i/>
          <w:iCs/>
          <w:color w:val="000000"/>
          <w:sz w:val="22"/>
          <w:szCs w:val="22"/>
        </w:rPr>
        <w:t xml:space="preserve">Anastrepha fraterculus </w:t>
      </w:r>
      <w:r>
        <w:rPr>
          <w:rFonts w:ascii="Calibri" w:hAnsi="Calibri" w:eastAsia="Calibri" w:cs="Calibri"/>
          <w:color w:val="000000"/>
          <w:sz w:val="22"/>
          <w:szCs w:val="22"/>
        </w:rPr>
        <w:t xml:space="preserve">(Wiedemann, 1830), do parasitóide </w:t>
      </w:r>
      <w:r>
        <w:rPr>
          <w:rFonts w:ascii="Calibri" w:hAnsi="Calibri" w:eastAsia="Calibri" w:cs="Calibri"/>
          <w:i/>
          <w:iCs/>
          <w:color w:val="000000"/>
          <w:sz w:val="22"/>
          <w:szCs w:val="22"/>
        </w:rPr>
        <w:t xml:space="preserve">Diachasmimorpha longicauda </w:t>
      </w:r>
      <w:r>
        <w:rPr>
          <w:rFonts w:ascii="Calibri" w:hAnsi="Calibri" w:eastAsia="Calibri" w:cs="Calibri"/>
          <w:color w:val="000000"/>
          <w:sz w:val="22"/>
          <w:szCs w:val="22"/>
        </w:rPr>
        <w:t xml:space="preserve">(Ashmed, 1905) e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Dissertação. Universidade de São Paulo, Brasil.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de Miranda SHG, Adami ACO, Vilela EF &amp; Leal WS (2016) How much is a pheromone worth? </w:t>
      </w:r>
      <w:r>
        <w:rPr>
          <w:rFonts w:ascii="Calibri" w:hAnsi="Calibri" w:eastAsia="Calibri" w:cs="Calibri"/>
          <w:i/>
          <w:iCs/>
          <w:color w:val="000000"/>
          <w:sz w:val="22"/>
          <w:szCs w:val="22"/>
        </w:rPr>
        <w:t xml:space="preserve">F1000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(2001) Sexual behavior and diel activity of citrus fruit borer.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(2004) Feromônio sexual no manejo do bicho-furão-dos-citros. </w:t>
      </w:r>
      <w:r>
        <w:rPr>
          <w:rFonts w:ascii="Calibri" w:hAnsi="Calibri" w:eastAsia="Calibri" w:cs="Calibri"/>
          <w:i/>
          <w:iCs/>
          <w:color w:val="000000"/>
          <w:sz w:val="22"/>
          <w:szCs w:val="22"/>
        </w:rPr>
        <w:t xml:space="preserve">Visão Agrícola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68–71.</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(1994) The biology and ecology of the macadamia nutborer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in Costa Rica. Thesis. University of Edinburgh (UK).</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Villalobos R, Wat AD &amp; Cosens D (1997) Efecto del Manejo de las Malezas en Macadamia sobre la Población del Barrenador de la Nuez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Meyrick (Lep: Tortricidae). </w:t>
      </w:r>
      <w:r>
        <w:rPr>
          <w:rFonts w:ascii="Calibri" w:hAnsi="Calibri" w:eastAsia="Calibri" w:cs="Calibri"/>
          <w:i/>
          <w:iCs/>
          <w:color w:val="000000"/>
          <w:sz w:val="22"/>
          <w:szCs w:val="22"/>
        </w:rPr>
        <w:t xml:space="preserve">Agronomía Mesoamericana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96–100.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(1993) Ciclo de vida y comportamiento de oviposición de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(Lepidoptera: Tortricidae) barrenador de la nuez de macadamia. </w:t>
      </w:r>
      <w:r>
        <w:rPr>
          <w:rFonts w:ascii="Calibri" w:hAnsi="Calibri" w:eastAsia="Calibri" w:cs="Calibri"/>
          <w:i/>
          <w:iCs/>
          <w:color w:val="000000"/>
          <w:sz w:val="22"/>
          <w:szCs w:val="22"/>
        </w:rPr>
        <w:t xml:space="preserve">Manejo Integrado De Plagas (Costa Rica)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(2007) The effect of predators on the abundance of the macadamia Nutborer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Agronomía Costarricense: Revista De Ciencias Agrícolas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AD &amp; Cosens D (2009) The effect of parasitism on the population dynamics of the macadamia nutborer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Revista De Biologia Tropical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1245–1252.</w:t>
      </w:r>
    </w:p>
    <w:p>
      <w:pPr>
        <w:widowControl w:val="on"/>
        <w:pBdr/>
        <w:spacing w:before="220" w:after="220" w:line="240" w:lineRule="auto"/>
        <w:ind w:left="0" w:right="0"/>
        <w:jc w:val="left"/>
      </w:pPr>
      <w:r>
        <w:rPr>
          <w:rFonts w:ascii="Calibri" w:hAnsi="Calibri" w:eastAsia="Calibri" w:cs="Calibri"/>
          <w:color w:val="000000"/>
          <w:sz w:val="22"/>
          <w:szCs w:val="22"/>
        </w:rPr>
        <w:t xml:space="preserve">Briceño RAG &amp; Sharkey MJ (2000) </w:t>
      </w:r>
      <w:r>
        <w:rPr>
          <w:rFonts w:ascii="Calibri" w:hAnsi="Calibri" w:eastAsia="Calibri" w:cs="Calibri"/>
          <w:i/>
          <w:iCs/>
          <w:color w:val="000000"/>
          <w:sz w:val="22"/>
          <w:szCs w:val="22"/>
        </w:rPr>
        <w:t xml:space="preserve">Bassus macadamiae </w:t>
      </w:r>
      <w:r>
        <w:rPr>
          <w:rFonts w:ascii="Calibri" w:hAnsi="Calibri" w:eastAsia="Calibri" w:cs="Calibri"/>
          <w:color w:val="000000"/>
          <w:sz w:val="22"/>
          <w:szCs w:val="22"/>
        </w:rPr>
        <w:t xml:space="preserve">sp. n. (Hymenoptera: Braconidae: Agathidinae), Parasitoid of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aurantianum </w:t>
      </w:r>
      <w:r>
        <w:rPr>
          <w:rFonts w:ascii="Calibri" w:hAnsi="Calibri" w:eastAsia="Calibri" w:cs="Calibri"/>
          <w:color w:val="000000"/>
          <w:sz w:val="22"/>
          <w:szCs w:val="22"/>
        </w:rPr>
        <w:t xml:space="preserve">(Lepidoptera: Tortricidae) in Macadamia Nut Crops in Central and South America. </w:t>
      </w:r>
      <w:r>
        <w:rPr>
          <w:rFonts w:ascii="Calibri" w:hAnsi="Calibri" w:eastAsia="Calibri" w:cs="Calibri"/>
          <w:i/>
          <w:iCs/>
          <w:color w:val="000000"/>
          <w:sz w:val="22"/>
          <w:szCs w:val="22"/>
        </w:rPr>
        <w:t xml:space="preserve">Journal of Hymenoptera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(2011) Tools for Identifying the Larvae of Leafrollers (Lepidoptera: Tortricidae) frequently Intercepted at U.S. Ports of Entry Systematic Entomology Laboratory, PSI, Agricultural Research Service, U.S. Department of Agriculture c/o National Museum of Natural History, Washington, D.C. Draft, September 2011. 19 pp. </w:t>
      </w:r>
      <w:hyperlink r:id="rId679269f01f022ea9a" w:history="1">
        <w:r>
          <w:rPr>
            <w:rFonts w:ascii="Calibri" w:hAnsi="Calibri" w:eastAsia="Calibri" w:cs="Calibri"/>
            <w:color w:val="0000CC"/>
            <w:sz w:val="22"/>
            <w:szCs w:val="22"/>
            <w:u w:val="single"/>
          </w:rPr>
          <w:t xml:space="preserve">http://idtoo ls.org/</w:t>
        </w:r>
      </w:hyperlink>
      <w:r>
        <w:rPr>
          <w:rFonts w:ascii="Calibri" w:hAnsi="Calibri" w:eastAsia="Calibri" w:cs="Calibri"/>
          <w:color w:val="000000"/>
          <w:sz w:val="22"/>
          <w:szCs w:val="22"/>
        </w:rPr>
        <w:t xml:space="preserve"> [accessed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Cabrera-Asencio I, Vélez A, Henríquez S &amp; Santiago-Blay J (2013) </w:t>
      </w:r>
      <w:r>
        <w:rPr>
          <w:rFonts w:ascii="Calibri" w:hAnsi="Calibri" w:eastAsia="Calibri" w:cs="Calibri"/>
          <w:i/>
          <w:iCs/>
          <w:color w:val="000000"/>
          <w:sz w:val="22"/>
          <w:szCs w:val="22"/>
        </w:rPr>
        <w:t xml:space="preserve">Melicoccus bijugatus </w:t>
      </w:r>
      <w:r>
        <w:rPr>
          <w:rFonts w:ascii="Calibri" w:hAnsi="Calibri" w:eastAsia="Calibri" w:cs="Calibri"/>
          <w:color w:val="000000"/>
          <w:sz w:val="22"/>
          <w:szCs w:val="22"/>
        </w:rPr>
        <w:t xml:space="preserve">Jacquin (Sapindaceae), quenepa: A new host plant record for the Citrus Fruit 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(Lepidoptera: Tortricidae) and the genus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in Puerto Rico. </w:t>
      </w:r>
      <w:r>
        <w:rPr>
          <w:rFonts w:ascii="Calibri" w:hAnsi="Calibri" w:eastAsia="Calibri" w:cs="Calibri"/>
          <w:i/>
          <w:iCs/>
          <w:color w:val="000000"/>
          <w:sz w:val="22"/>
          <w:szCs w:val="22"/>
        </w:rPr>
        <w:t xml:space="preserve">Life: The Excitement of Biology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w:t>
      </w:r>
    </w:p>
    <w:p>
      <w:pPr>
        <w:widowControl w:val="on"/>
        <w:pBdr/>
        <w:spacing w:before="220" w:after="220" w:line="240" w:lineRule="auto"/>
        <w:ind w:left="0" w:right="0"/>
        <w:jc w:val="left"/>
      </w:pPr>
      <w:r>
        <w:rPr>
          <w:rFonts w:ascii="Calibri" w:hAnsi="Calibri" w:eastAsia="Calibri" w:cs="Calibri"/>
          <w:color w:val="000000"/>
          <w:sz w:val="22"/>
          <w:szCs w:val="22"/>
        </w:rPr>
        <w:t xml:space="preserve">COSAVE-IICA (1999) XXI reunión del grupo de trabajo permanente en cuarentena vegetal. Foz do Iguaçu, Brasil 03-07 de mayo de 1999. 23 pp.</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Puchi N (2005) Caracterización morfológica de los Sesiidae (Insecta: Lepidoptera) perforadores del fruto del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presentes en la región costera del estado Aragua. </w:t>
      </w:r>
      <w:r>
        <w:rPr>
          <w:rFonts w:ascii="Calibri" w:hAnsi="Calibri" w:eastAsia="Calibri" w:cs="Calibri"/>
          <w:i/>
          <w:iCs/>
          <w:color w:val="000000"/>
          <w:sz w:val="22"/>
          <w:szCs w:val="22"/>
        </w:rPr>
        <w:t xml:space="preserve">Venezuela. Entomotropica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97–111.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citrus fruit borer, macadamia fruit borer. Document 20-25860. </w:t>
      </w:r>
      <w:hyperlink r:id="rId319869f01f022ec3b"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(2007) </w:t>
      </w:r>
      <w:r>
        <w:rPr>
          <w:rFonts w:ascii="Calibri" w:hAnsi="Calibri" w:eastAsia="Calibri" w:cs="Calibri"/>
          <w:i/>
          <w:iCs/>
          <w:color w:val="000000"/>
          <w:sz w:val="22"/>
          <w:szCs w:val="22"/>
        </w:rPr>
        <w:t xml:space="preserve">Manual técnico do Bicho Furão</w:t>
      </w:r>
      <w:r>
        <w:rPr>
          <w:rFonts w:ascii="Calibri" w:hAnsi="Calibri" w:eastAsia="Calibri" w:cs="Calibri"/>
          <w:color w:val="000000"/>
          <w:sz w:val="22"/>
          <w:szCs w:val="22"/>
        </w:rPr>
        <w:t xml:space="preserve">. Funde de Defesa da Citricultura, Brasil.</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(2019) Bicho Furao. Funde de Defesa da Citricultura, Brasil. </w:t>
      </w:r>
      <w:hyperlink r:id="rId605669f01f022ecb7" w:history="1">
        <w:r>
          <w:rPr>
            <w:rFonts w:ascii="Calibri" w:hAnsi="Calibri" w:eastAsia="Calibri" w:cs="Calibri"/>
            <w:color w:val="0000CC"/>
            <w:sz w:val="22"/>
            <w:szCs w:val="22"/>
            <w:u w:val="single"/>
          </w:rPr>
          <w:t xml:space="preserve">https://www.funde citrus.com.br/doenc as/bicho -furao</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CV (2005) Reconocimiento fitosanitario en cinco variedades cultivadas de macadamia (</w:t>
      </w:r>
      <w:r>
        <w:rPr>
          <w:rFonts w:ascii="Calibri" w:hAnsi="Calibri" w:eastAsia="Calibri" w:cs="Calibri"/>
          <w:i/>
          <w:iCs/>
          <w:color w:val="000000"/>
          <w:sz w:val="22"/>
          <w:szCs w:val="22"/>
        </w:rPr>
        <w:t xml:space="preserve">Macadamia integrifolia </w:t>
      </w:r>
      <w:r>
        <w:rPr>
          <w:rFonts w:ascii="Calibri" w:hAnsi="Calibri" w:eastAsia="Calibri" w:cs="Calibri"/>
          <w:color w:val="000000"/>
          <w:sz w:val="22"/>
          <w:szCs w:val="22"/>
        </w:rPr>
        <w:t xml:space="preserve">Maiden et Betche) en la zona cafetera colombiana. </w:t>
      </w:r>
      <w:r>
        <w:rPr>
          <w:rFonts w:ascii="Calibri" w:hAnsi="Calibri" w:eastAsia="Calibri" w:cs="Calibri"/>
          <w:i/>
          <w:iCs/>
          <w:color w:val="000000"/>
          <w:sz w:val="22"/>
          <w:szCs w:val="22"/>
        </w:rPr>
        <w:t xml:space="preserve">Manejo Integrado de Plagas y Agroecología (Costa Rica)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69–76.</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(1998) Bioecologia e potencial de controle biológico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1927) (Lepidoptera: Tortricidae), o bicho-furão-dos-citros, através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1879. Tese de Doutorado, Escola Superior de Agricultura ‘Luiz de Queiroz’, USP, Piracicaba, Brasil.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&amp; Parra JRP (1999) Comparação de dietas artificiais, com fontes protéicas variáveis, para criação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Anais da Sociedade Entomológica do Brasil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219–232.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Tortricids of Agricultural Importance by Todd M. Gilligan and Marc E. Epstein</w:t>
      </w:r>
      <w:r>
        <w:rPr>
          <w:rFonts w:ascii="Calibri" w:hAnsi="Calibri" w:eastAsia="Calibri" w:cs="Calibri"/>
          <w:color w:val="000000"/>
          <w:sz w:val="22"/>
          <w:szCs w:val="22"/>
        </w:rPr>
        <w:t xml:space="preserve">. Interactive Keys developed in Lucid 3.5. Last updated August 2014. </w:t>
      </w:r>
      <w:hyperlink r:id="rId885069f01f022ee9d" w:history="1">
        <w:r>
          <w:rPr>
            <w:rFonts w:ascii="Calibri" w:hAnsi="Calibri" w:eastAsia="Calibri" w:cs="Calibri"/>
            <w:color w:val="0000CC"/>
            <w:sz w:val="22"/>
            <w:szCs w:val="22"/>
            <w:u w:val="single"/>
          </w:rPr>
          <w:t xml:space="preserve">http://idtools.org/id/leps/tortai/</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Gomez Orellana RE, Hernandez Lovato L &amp; Jeorge Ferman RE (2008) Insectos asociados al nance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L.) en los municipios de La Palma, departamento de Chalatenango y Quezaltepeque, departamento de La Libertad, El Salvador. Tesis. Universidad de El Salvador. 78 pp.</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Torres ML (2005) </w:t>
      </w:r>
      <w:r>
        <w:rPr>
          <w:rFonts w:ascii="Calibri" w:hAnsi="Calibri" w:eastAsia="Calibri" w:cs="Calibri"/>
          <w:i/>
          <w:iCs/>
          <w:color w:val="000000"/>
          <w:sz w:val="22"/>
          <w:szCs w:val="22"/>
        </w:rPr>
        <w:t xml:space="preserve">Controle Biológico de </w:t>
      </w:r>
      <w:r>
        <w:rPr>
          <w:rFonts w:ascii="Calibri" w:hAnsi="Calibri" w:eastAsia="Calibri" w:cs="Calibri"/>
          <w:color w:val="000000"/>
          <w:sz w:val="22"/>
          <w:szCs w:val="22"/>
        </w:rPr>
        <w:t xml:space="preserve">Ecdytolopha aurantiana </w:t>
      </w:r>
      <w:r>
        <w:rPr>
          <w:rFonts w:ascii="Calibri" w:hAnsi="Calibri" w:eastAsia="Calibri" w:cs="Calibri"/>
          <w:i/>
          <w:iCs/>
          <w:color w:val="000000"/>
          <w:sz w:val="22"/>
          <w:szCs w:val="22"/>
        </w:rPr>
        <w:t xml:space="preserve">(Lima, 1927) (Lepidoptera : Tortricidae) com </w:t>
      </w:r>
      <w:r>
        <w:rPr>
          <w:rFonts w:ascii="Calibri" w:hAnsi="Calibri" w:eastAsia="Calibri" w:cs="Calibri"/>
          <w:color w:val="000000"/>
          <w:sz w:val="22"/>
          <w:szCs w:val="22"/>
        </w:rPr>
        <w:t xml:space="preserve">Trichogramma atopovirilia </w:t>
      </w:r>
      <w:r>
        <w:rPr>
          <w:rFonts w:ascii="Calibri" w:hAnsi="Calibri" w:eastAsia="Calibri" w:cs="Calibri"/>
          <w:i/>
          <w:iCs/>
          <w:color w:val="000000"/>
          <w:sz w:val="22"/>
          <w:szCs w:val="22"/>
        </w:rPr>
        <w:t xml:space="preserve">Oatman &amp; Platner, 1983</w:t>
      </w:r>
      <w:r>
        <w:rPr>
          <w:rFonts w:ascii="Calibri" w:hAnsi="Calibri" w:eastAsia="Calibri" w:cs="Calibri"/>
          <w:color w:val="000000"/>
          <w:sz w:val="22"/>
          <w:szCs w:val="22"/>
        </w:rPr>
        <w:t xml:space="preserve">. Dissertação. Universidade de São Paulo, Brasil. 127 pp.</w:t>
      </w:r>
    </w:p>
    <w:p>
      <w:pPr>
        <w:widowControl w:val="on"/>
        <w:pBdr/>
        <w:spacing w:before="220" w:after="220" w:line="240" w:lineRule="auto"/>
        <w:ind w:left="0" w:right="0"/>
        <w:jc w:val="left"/>
      </w:pPr>
      <w:r>
        <w:rPr>
          <w:rFonts w:ascii="Calibri" w:hAnsi="Calibri" w:eastAsia="Calibri" w:cs="Calibri"/>
          <w:color w:val="000000"/>
          <w:sz w:val="22"/>
          <w:szCs w:val="22"/>
        </w:rPr>
        <w:t xml:space="preserve">Leal WS, Bento JMS, Murata Y, Ono M, Parra JRP &amp; Vilela EF (2001) Identification, synthesis, and field evaluation of the sex pheromone of the citrus fruit borer </w:t>
      </w:r>
      <w:r>
        <w:rPr>
          <w:rFonts w:ascii="Calibri" w:hAnsi="Calibri" w:eastAsia="Calibri" w:cs="Calibri"/>
          <w:i/>
          <w:iCs/>
          <w:color w:val="000000"/>
          <w:sz w:val="22"/>
          <w:szCs w:val="22"/>
        </w:rPr>
        <w:t xml:space="preserve">Ecdytolopha aurantiana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2041–2051.</w:t>
      </w:r>
    </w:p>
    <w:p>
      <w:pPr>
        <w:widowControl w:val="on"/>
        <w:pBdr/>
        <w:spacing w:before="220" w:after="220" w:line="240" w:lineRule="auto"/>
        <w:ind w:left="0" w:right="0"/>
        <w:jc w:val="left"/>
      </w:pPr>
      <w:r>
        <w:rPr>
          <w:rFonts w:ascii="Calibri" w:hAnsi="Calibri" w:eastAsia="Calibri" w:cs="Calibri"/>
          <w:color w:val="000000"/>
          <w:sz w:val="22"/>
          <w:szCs w:val="22"/>
        </w:rPr>
        <w:t xml:space="preserve">Leandro HHC (2012) Identificación y estudio de la biología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'perforador del fruto de sacha inchi' (</w:t>
      </w:r>
      <w:r>
        <w:rPr>
          <w:rFonts w:ascii="Calibri" w:hAnsi="Calibri" w:eastAsia="Calibri" w:cs="Calibri"/>
          <w:i/>
          <w:iCs/>
          <w:color w:val="000000"/>
          <w:sz w:val="22"/>
          <w:szCs w:val="22"/>
        </w:rPr>
        <w:t xml:space="preserve">Plukenetia volubilis </w:t>
      </w:r>
      <w:r>
        <w:rPr>
          <w:rFonts w:ascii="Calibri" w:hAnsi="Calibri" w:eastAsia="Calibri" w:cs="Calibri"/>
          <w:color w:val="000000"/>
          <w:sz w:val="22"/>
          <w:szCs w:val="22"/>
        </w:rPr>
        <w:t xml:space="preserve">L.) en Tingo María. Tesis. Universidad Nacional Agraria de La Selva, Tingo María (PE)</w:t>
      </w:r>
    </w:p>
    <w:p>
      <w:pPr>
        <w:widowControl w:val="on"/>
        <w:pBdr/>
        <w:spacing w:before="220" w:after="220" w:line="240" w:lineRule="auto"/>
        <w:ind w:left="0" w:right="0"/>
        <w:jc w:val="left"/>
      </w:pPr>
      <w:r>
        <w:rPr>
          <w:rFonts w:ascii="Calibri" w:hAnsi="Calibri" w:eastAsia="Calibri" w:cs="Calibri"/>
          <w:color w:val="000000"/>
          <w:sz w:val="22"/>
          <w:szCs w:val="22"/>
        </w:rPr>
        <w:t xml:space="preserve">Leite LG, Tavares FM, Goulart RM, Filho AB &amp; Parra JRP (2005) Patogenicidade de Nematoides Entomopatogenicos a Larvas de 6° Instar do Bicho-Furão,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e Avaliação de Dosagens de </w:t>
      </w:r>
      <w:r>
        <w:rPr>
          <w:rFonts w:ascii="Calibri" w:hAnsi="Calibri" w:eastAsia="Calibri" w:cs="Calibri"/>
          <w:i/>
          <w:iCs/>
          <w:color w:val="000000"/>
          <w:sz w:val="22"/>
          <w:szCs w:val="22"/>
        </w:rPr>
        <w:t xml:space="preserve">Heterorhabditis indica </w:t>
      </w:r>
      <w:r>
        <w:rPr>
          <w:rFonts w:ascii="Calibri" w:hAnsi="Calibri" w:eastAsia="Calibri" w:cs="Calibri"/>
          <w:color w:val="000000"/>
          <w:sz w:val="22"/>
          <w:szCs w:val="22"/>
        </w:rPr>
        <w:t xml:space="preserve">na Mortalidade do Inseto. </w:t>
      </w:r>
      <w:r>
        <w:rPr>
          <w:rFonts w:ascii="Calibri" w:hAnsi="Calibri" w:eastAsia="Calibri" w:cs="Calibri"/>
          <w:i/>
          <w:iCs/>
          <w:color w:val="000000"/>
          <w:sz w:val="22"/>
          <w:szCs w:val="22"/>
        </w:rPr>
        <w:t xml:space="preserve">Revista de Agricultura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316–330.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AMdC (1945) 140.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1927. Insetos do Brasil 5. Tomo Lepidópteros parte 1. </w:t>
      </w:r>
      <w:r>
        <w:rPr>
          <w:rFonts w:ascii="Calibri" w:hAnsi="Calibri" w:eastAsia="Calibri" w:cs="Calibri"/>
          <w:i/>
          <w:iCs/>
          <w:color w:val="000000"/>
          <w:sz w:val="22"/>
          <w:szCs w:val="22"/>
        </w:rPr>
        <w:t xml:space="preserve">Escola Nacional de Agronomia, Série Didática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347–353.</w:t>
      </w:r>
    </w:p>
    <w:p>
      <w:pPr>
        <w:widowControl w:val="on"/>
        <w:pBdr/>
        <w:spacing w:before="220" w:after="220" w:line="240" w:lineRule="auto"/>
        <w:ind w:left="0" w:right="0"/>
        <w:jc w:val="left"/>
      </w:pPr>
      <w:r>
        <w:rPr>
          <w:rFonts w:ascii="Calibri" w:hAnsi="Calibri" w:eastAsia="Calibri" w:cs="Calibri"/>
          <w:color w:val="000000"/>
          <w:sz w:val="22"/>
          <w:szCs w:val="22"/>
        </w:rPr>
        <w:t xml:space="preserve">Molet T, Marchant W &amp; Morales L (2018) CPHST Pest Datasheet for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USDA-APHIS-PPQ-CPHST (USA).</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AC, Lizcano CES &amp; Prado MM (2018) Reconocimiento, daño y opciones de manejo de </w:t>
      </w:r>
      <w:r>
        <w:rPr>
          <w:rFonts w:ascii="Calibri" w:hAnsi="Calibri" w:eastAsia="Calibri" w:cs="Calibri"/>
          <w:i/>
          <w:iCs/>
          <w:color w:val="000000"/>
          <w:sz w:val="22"/>
          <w:szCs w:val="22"/>
        </w:rPr>
        <w:t xml:space="preserve">Carmenta foraseminis </w:t>
      </w:r>
      <w:r>
        <w:rPr>
          <w:rFonts w:ascii="Calibri" w:hAnsi="Calibri" w:eastAsia="Calibri" w:cs="Calibri"/>
          <w:color w:val="000000"/>
          <w:sz w:val="22"/>
          <w:szCs w:val="22"/>
        </w:rPr>
        <w:t xml:space="preserve">Eichlin (Lepidóptera: Sesiidae), perforador del fruto y semilla de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(Malvaceae). Agrosavia, Mosquera (CO).</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K (2018) Surto de lepidobrocas atacando frutos de cacaueiro Boletim Técnico. Ministério da Agricultura, Pecuária e Abastecimento, Ilhéus (BA).</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Medina L &amp; Viera W (2018) First Report of </w:t>
      </w:r>
      <w:r>
        <w:rPr>
          <w:rFonts w:ascii="Calibri" w:hAnsi="Calibri" w:eastAsia="Calibri" w:cs="Calibri"/>
          <w:i/>
          <w:iCs/>
          <w:color w:val="000000"/>
          <w:sz w:val="22"/>
          <w:szCs w:val="22"/>
        </w:rPr>
        <w:t xml:space="preserve">Gynmandrosoma aurantianum </w:t>
      </w:r>
      <w:r>
        <w:rPr>
          <w:rFonts w:ascii="Calibri" w:hAnsi="Calibri" w:eastAsia="Calibri" w:cs="Calibri"/>
          <w:color w:val="000000"/>
          <w:sz w:val="22"/>
          <w:szCs w:val="22"/>
        </w:rPr>
        <w:t xml:space="preserve">(Lepidoptera: Tortricidae) in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in the Inter-Andean Valleys of Ecuador.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699–701.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(2016) Sustainable Pest Control for Citrus Production in Brazil. Presentation. International Citrus Congress, 18-23 September 2016. Foz do Iguacu (BA).</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Bento JMS, Garcia MS, Yamamoto PT, Vilela EF &amp; Leal WS (2004) Development of a control alternative for the citrus fruit borer,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from basic research to the grower.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561–567.</w:t>
      </w:r>
    </w:p>
    <w:p>
      <w:pPr>
        <w:widowControl w:val="on"/>
        <w:pBdr/>
        <w:spacing w:before="220" w:after="220" w:line="240" w:lineRule="auto"/>
        <w:ind w:left="0" w:right="0"/>
        <w:jc w:val="left"/>
      </w:pPr>
      <w:r>
        <w:rPr>
          <w:rFonts w:ascii="Calibri" w:hAnsi="Calibri" w:eastAsia="Calibri" w:cs="Calibri"/>
          <w:color w:val="000000"/>
          <w:sz w:val="22"/>
          <w:szCs w:val="22"/>
        </w:rPr>
        <w:t xml:space="preserve">Primo Miranda C (2003) Cultivo de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control biológico del barrenador de la nuez macadamia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con tres diferentes niveles de concentración del hongo. Tesis de graduación profesional (2002).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Reis R Jr, Parra JRP &amp; Bento JMS (2005) Desenvolvimento de um modelo para previsão de ocorrência do bicho-furão-dos-citros,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de Matos ST, dos Santos-Cividanes TM, Cividanes FJ, dos Santos LC, Suguino E &amp; Ribeiro AA (2019) First record of lepidopteran borers in Macadamia nuts in Brazil.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649–650.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(2003) Importation of Fresh Commercial Citrus Fruit: Grapefruit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Macfad.); Lime (</w:t>
      </w:r>
      <w:r>
        <w:rPr>
          <w:rFonts w:ascii="Calibri" w:hAnsi="Calibri" w:eastAsia="Calibri" w:cs="Calibri"/>
          <w:i/>
          <w:iCs/>
          <w:color w:val="000000"/>
          <w:sz w:val="22"/>
          <w:szCs w:val="22"/>
        </w:rPr>
        <w:t xml:space="preserve">C. aurantiifolia </w:t>
      </w:r>
      <w:r>
        <w:rPr>
          <w:rFonts w:ascii="Calibri" w:hAnsi="Calibri" w:eastAsia="Calibri" w:cs="Calibri"/>
          <w:color w:val="000000"/>
          <w:sz w:val="22"/>
          <w:szCs w:val="22"/>
        </w:rPr>
        <w:t xml:space="preserve">[Christm.] Swingle); Mandarin Orange or Tangerine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Sweet Orange (</w:t>
      </w:r>
      <w:r>
        <w:rPr>
          <w:rFonts w:ascii="Calibri" w:hAnsi="Calibri" w:eastAsia="Calibri" w:cs="Calibri"/>
          <w:i/>
          <w:iCs/>
          <w:color w:val="000000"/>
          <w:sz w:val="22"/>
          <w:szCs w:val="22"/>
        </w:rPr>
        <w:t xml:space="preserve">C. sinensis </w:t>
      </w:r>
      <w:r>
        <w:rPr>
          <w:rFonts w:ascii="Calibri" w:hAnsi="Calibri" w:eastAsia="Calibri" w:cs="Calibri"/>
          <w:color w:val="000000"/>
          <w:sz w:val="22"/>
          <w:szCs w:val="22"/>
        </w:rPr>
        <w:t xml:space="preserve">[L.] Osbeck); Tangelo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tangelo </w:t>
      </w:r>
      <w:r>
        <w:rPr>
          <w:rFonts w:ascii="Calibri" w:hAnsi="Calibri" w:eastAsia="Calibri" w:cs="Calibri"/>
          <w:color w:val="000000"/>
          <w:sz w:val="22"/>
          <w:szCs w:val="22"/>
        </w:rPr>
        <w:t xml:space="preserve">J.W. Ingra &amp; H.E. Moore); from Peru into the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(2012) Importation of Fresh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including Sweet Orange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 Osbeck), Lemon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 Burm. f.), Mandarin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w:t>
      </w:r>
      <w:r>
        <w:rPr>
          <w:rFonts w:ascii="Calibri" w:hAnsi="Calibri" w:eastAsia="Calibri" w:cs="Calibri"/>
          <w:i/>
          <w:iCs/>
          <w:color w:val="000000"/>
          <w:sz w:val="22"/>
          <w:szCs w:val="22"/>
        </w:rPr>
        <w:t xml:space="preserve">C. clementina </w:t>
      </w:r>
      <w:r>
        <w:rPr>
          <w:rFonts w:ascii="Calibri" w:hAnsi="Calibri" w:eastAsia="Calibri" w:cs="Calibri"/>
          <w:color w:val="000000"/>
          <w:sz w:val="22"/>
          <w:szCs w:val="22"/>
        </w:rPr>
        <w:t xml:space="preserve">Hort. Ex Tanaka, </w:t>
      </w:r>
      <w:r>
        <w:rPr>
          <w:rFonts w:ascii="Calibri" w:hAnsi="Calibri" w:eastAsia="Calibri" w:cs="Calibri"/>
          <w:i/>
          <w:iCs/>
          <w:color w:val="000000"/>
          <w:sz w:val="22"/>
          <w:szCs w:val="22"/>
        </w:rPr>
        <w:t xml:space="preserve">C. deliciosa </w:t>
      </w:r>
      <w:r>
        <w:rPr>
          <w:rFonts w:ascii="Calibri" w:hAnsi="Calibri" w:eastAsia="Calibri" w:cs="Calibri"/>
          <w:color w:val="000000"/>
          <w:sz w:val="22"/>
          <w:szCs w:val="22"/>
        </w:rPr>
        <w:t xml:space="preserve">Ten., </w:t>
      </w:r>
      <w:r>
        <w:rPr>
          <w:rFonts w:ascii="Calibri" w:hAnsi="Calibri" w:eastAsia="Calibri" w:cs="Calibri"/>
          <w:i/>
          <w:iCs/>
          <w:color w:val="000000"/>
          <w:sz w:val="22"/>
          <w:szCs w:val="22"/>
        </w:rPr>
        <w:t xml:space="preserve">C. unshiu </w:t>
      </w:r>
      <w:r>
        <w:rPr>
          <w:rFonts w:ascii="Calibri" w:hAnsi="Calibri" w:eastAsia="Calibri" w:cs="Calibri"/>
          <w:color w:val="000000"/>
          <w:sz w:val="22"/>
          <w:szCs w:val="22"/>
        </w:rPr>
        <w:t xml:space="preserve">Marcow.),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Hybrids, and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Genus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japonica </w:t>
      </w:r>
      <w:r>
        <w:rPr>
          <w:rFonts w:ascii="Calibri" w:hAnsi="Calibri" w:eastAsia="Calibri" w:cs="Calibri"/>
          <w:color w:val="000000"/>
          <w:sz w:val="22"/>
          <w:szCs w:val="22"/>
        </w:rPr>
        <w:t xml:space="preserve">(Thunb.) Swingle, </w:t>
      </w:r>
      <w:r>
        <w:rPr>
          <w:rFonts w:ascii="Calibri" w:hAnsi="Calibri" w:eastAsia="Calibri" w:cs="Calibri"/>
          <w:i/>
          <w:iCs/>
          <w:color w:val="000000"/>
          <w:sz w:val="22"/>
          <w:szCs w:val="22"/>
        </w:rPr>
        <w:t xml:space="preserve">F. margarita </w:t>
      </w:r>
      <w:r>
        <w:rPr>
          <w:rFonts w:ascii="Calibri" w:hAnsi="Calibri" w:eastAsia="Calibri" w:cs="Calibri"/>
          <w:color w:val="000000"/>
          <w:sz w:val="22"/>
          <w:szCs w:val="22"/>
        </w:rPr>
        <w:t xml:space="preserve">(Lour.) Swingle), from Uruguay into the Continental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Vianna UR (2015) Capítulo 2, Bicho-Furão. In </w:t>
      </w:r>
      <w:r>
        <w:rPr>
          <w:rFonts w:ascii="Calibri" w:hAnsi="Calibri" w:eastAsia="Calibri" w:cs="Calibri"/>
          <w:i/>
          <w:iCs/>
          <w:color w:val="000000"/>
          <w:sz w:val="22"/>
          <w:szCs w:val="22"/>
        </w:rPr>
        <w:t xml:space="preserve">Pragas emergentes no Estado do Espírito Santo, 1a edição</w:t>
      </w:r>
      <w:r>
        <w:rPr>
          <w:rFonts w:ascii="Calibri" w:hAnsi="Calibri" w:eastAsia="Calibri" w:cs="Calibri"/>
          <w:color w:val="000000"/>
          <w:sz w:val="22"/>
          <w:szCs w:val="22"/>
        </w:rPr>
        <w:t xml:space="preserve">. 142 pp. Alegre, Espírito Santo (BA).</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 &amp; Tuck K (1993) Outbreak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on citrus in Trinidad.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130–132.</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(1999) </w:t>
      </w:r>
      <w:r>
        <w:rPr>
          <w:rFonts w:ascii="Calibri" w:hAnsi="Calibri" w:eastAsia="Calibri" w:cs="Calibri"/>
          <w:i/>
          <w:iCs/>
          <w:color w:val="000000"/>
          <w:sz w:val="22"/>
          <w:szCs w:val="22"/>
        </w:rPr>
        <w:t xml:space="preserve">Sapindus saponaria </w:t>
      </w:r>
      <w:r>
        <w:rPr>
          <w:rFonts w:ascii="Calibri" w:hAnsi="Calibri" w:eastAsia="Calibri" w:cs="Calibri"/>
          <w:color w:val="000000"/>
          <w:sz w:val="22"/>
          <w:szCs w:val="22"/>
        </w:rPr>
        <w:t xml:space="preserve">L. (Sapindaceae), a new host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(Lepidoptera: Tortricidae: Olethreutinae). </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P, Molina J, Felippe M &amp; Nociti L (2006) Monitoramento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em Laranjeira Valência com Feromônio Sexual. </w:t>
      </w:r>
      <w:r>
        <w:rPr>
          <w:rFonts w:ascii="Calibri" w:hAnsi="Calibri" w:eastAsia="Calibri" w:cs="Calibri"/>
          <w:i/>
          <w:iCs/>
          <w:color w:val="000000"/>
          <w:sz w:val="22"/>
          <w:szCs w:val="22"/>
        </w:rPr>
        <w:t xml:space="preserve">BioAssay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2020. The expert working group was composed of H. Blanco-Metzler (Universidad de Costa Rica, Costa Rica), M. Fernández Gallego (Tecnologías y Servicios Agrarios, Spain), L. Montecchio (Università di Padova, Italy) and N. Üstün (Ministry of Agriculture and Forestry, Turkey).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EPPO datasheets on pests recommended for regulation. Available online. </w:t>
      </w:r>
      <w:hyperlink r:id="rId835969f01f022f93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Gymnandrosoma aurantianum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387–393. </w:t>
      </w:r>
      <w:hyperlink r:id="rId889969f01f022f9f7" w:history="1">
        <w:r>
          <w:rPr>
            <w:rFonts w:ascii="Calibri" w:hAnsi="Calibri" w:eastAsia="Calibri" w:cs="Calibri"/>
            <w:color w:val="0000CC"/>
            <w:sz w:val="22"/>
            <w:szCs w:val="22"/>
            <w:u w:val="single"/>
          </w:rPr>
          <w:t xml:space="preserve">https://doi.org/10.1111/epp.12830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514219">
    <w:multiLevelType w:val="hybridMultilevel"/>
    <w:lvl w:ilvl="0" w:tplc="46343129">
      <w:start w:val="1"/>
      <w:numFmt w:val="decimal"/>
      <w:lvlText w:val="%1."/>
      <w:lvlJc w:val="left"/>
      <w:pPr>
        <w:ind w:left="720" w:hanging="360"/>
      </w:pPr>
    </w:lvl>
    <w:lvl w:ilvl="1" w:tplc="46343129" w:tentative="1">
      <w:start w:val="1"/>
      <w:numFmt w:val="lowerLetter"/>
      <w:lvlText w:val="%2."/>
      <w:lvlJc w:val="left"/>
      <w:pPr>
        <w:ind w:left="1440" w:hanging="360"/>
      </w:pPr>
    </w:lvl>
    <w:lvl w:ilvl="2" w:tplc="46343129" w:tentative="1">
      <w:start w:val="1"/>
      <w:numFmt w:val="lowerRoman"/>
      <w:lvlText w:val="%3."/>
      <w:lvlJc w:val="right"/>
      <w:pPr>
        <w:ind w:left="2160" w:hanging="180"/>
      </w:pPr>
    </w:lvl>
    <w:lvl w:ilvl="3" w:tplc="46343129" w:tentative="1">
      <w:start w:val="1"/>
      <w:numFmt w:val="decimal"/>
      <w:lvlText w:val="%4."/>
      <w:lvlJc w:val="left"/>
      <w:pPr>
        <w:ind w:left="2880" w:hanging="360"/>
      </w:pPr>
    </w:lvl>
    <w:lvl w:ilvl="4" w:tplc="46343129" w:tentative="1">
      <w:start w:val="1"/>
      <w:numFmt w:val="lowerLetter"/>
      <w:lvlText w:val="%5."/>
      <w:lvlJc w:val="left"/>
      <w:pPr>
        <w:ind w:left="3600" w:hanging="360"/>
      </w:pPr>
    </w:lvl>
    <w:lvl w:ilvl="5" w:tplc="46343129" w:tentative="1">
      <w:start w:val="1"/>
      <w:numFmt w:val="lowerRoman"/>
      <w:lvlText w:val="%6."/>
      <w:lvlJc w:val="right"/>
      <w:pPr>
        <w:ind w:left="4320" w:hanging="180"/>
      </w:pPr>
    </w:lvl>
    <w:lvl w:ilvl="6" w:tplc="46343129" w:tentative="1">
      <w:start w:val="1"/>
      <w:numFmt w:val="decimal"/>
      <w:lvlText w:val="%7."/>
      <w:lvlJc w:val="left"/>
      <w:pPr>
        <w:ind w:left="5040" w:hanging="360"/>
      </w:pPr>
    </w:lvl>
    <w:lvl w:ilvl="7" w:tplc="46343129" w:tentative="1">
      <w:start w:val="1"/>
      <w:numFmt w:val="lowerLetter"/>
      <w:lvlText w:val="%8."/>
      <w:lvlJc w:val="left"/>
      <w:pPr>
        <w:ind w:left="5760" w:hanging="360"/>
      </w:pPr>
    </w:lvl>
    <w:lvl w:ilvl="8" w:tplc="46343129" w:tentative="1">
      <w:start w:val="1"/>
      <w:numFmt w:val="lowerRoman"/>
      <w:lvlText w:val="%9."/>
      <w:lvlJc w:val="right"/>
      <w:pPr>
        <w:ind w:left="6480" w:hanging="180"/>
      </w:pPr>
    </w:lvl>
  </w:abstractNum>
  <w:abstractNum w:abstractNumId="36514218">
    <w:multiLevelType w:val="hybridMultilevel"/>
    <w:lvl w:ilvl="0" w:tplc="442501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514218">
    <w:abstractNumId w:val="36514218"/>
  </w:num>
  <w:num w:numId="36514219">
    <w:abstractNumId w:val="365142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4167233" Type="http://schemas.microsoft.com/office/2011/relationships/commentsExtended" Target="commentsExtended.xml"/><Relationship Id="rId459128683" Type="http://schemas.microsoft.com/office/2011/relationships/people" Target="people.xml"/><Relationship Id="rId942369f01f0226323" Type="http://schemas.openxmlformats.org/officeDocument/2006/relationships/hyperlink" Target="https://gd.eppo.int/taxon/ECDYAU/" TargetMode="External"/><Relationship Id="rId606569f01f0226369" Type="http://schemas.openxmlformats.org/officeDocument/2006/relationships/hyperlink" Target="https://gd.eppo.int/taxon/ECDYAU/categorization" TargetMode="External"/><Relationship Id="rId788269f01f02283ad" Type="http://schemas.openxmlformats.org/officeDocument/2006/relationships/hyperlink" Target="https://gd.eppo.int/taxon/ECDYAU/photos" TargetMode="External"/><Relationship Id="rId991569f01f022d3b9" Type="http://schemas.openxmlformats.org/officeDocument/2006/relationships/hyperlink" Target="http://idtools.org/id/leps/tortai/keys/TortAILarv%20ae.html" TargetMode="External"/><Relationship Id="rId414169f01f022d784" Type="http://schemas.openxmlformats.org/officeDocument/2006/relationships/hyperlink" Target="http://v4.boldsystems.org/" TargetMode="External"/><Relationship Id="rId752769f01f022e5ff" Type="http://schemas.openxmlformats.org/officeDocument/2006/relationships/hyperlink" Target="http://www.respo%20statecnica.org.br" TargetMode="External"/><Relationship Id="rId679269f01f022ea9a" Type="http://schemas.openxmlformats.org/officeDocument/2006/relationships/hyperlink" Target="http://idtoo%20ls.org/" TargetMode="External"/><Relationship Id="rId319869f01f022ec3b" Type="http://schemas.openxmlformats.org/officeDocument/2006/relationships/hyperlink" Target="https://gd.eppo.int" TargetMode="External"/><Relationship Id="rId605669f01f022ecb7" Type="http://schemas.openxmlformats.org/officeDocument/2006/relationships/hyperlink" Target="https://www.funde%20citrus.com.br/doenc%20as/bicho%20-furao" TargetMode="External"/><Relationship Id="rId885069f01f022ee9d" Type="http://schemas.openxmlformats.org/officeDocument/2006/relationships/hyperlink" Target="http://idtools.org/id/leps/tortai/keys/TortAILarv%20ae.html" TargetMode="External"/><Relationship Id="rId835969f01f022f935" Type="http://schemas.openxmlformats.org/officeDocument/2006/relationships/hyperlink" Target="https://gd.eppo.int" TargetMode="External"/><Relationship Id="rId889969f01f022f9f7" Type="http://schemas.openxmlformats.org/officeDocument/2006/relationships/hyperlink" Target="https://doi.org/10.1111/epp.12830" TargetMode="External"/><Relationship Id="rId525669f01f0227df7" Type="http://schemas.openxmlformats.org/officeDocument/2006/relationships/image" Target="media/imgrId525669f01f0227df7.jpg"/><Relationship Id="rId624769f01f022c91d" Type="http://schemas.openxmlformats.org/officeDocument/2006/relationships/image" Target="media/imgrId624769f01f022c91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