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Gymnandrosoma aurantianum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2022-08-30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Gymnandrosoma aurantianum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Argyroploce torticornis</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Ecdytolopha aurantiana</w:t>
            </w:r>
            <w:r>
              <w:rPr>
                <w:rFonts w:ascii="Calibri" w:hAnsi="Calibri" w:eastAsia="Calibri" w:cs="Calibri"/>
                <w:color w:val="000000"/>
                <w:position w:val="-3"/>
                <w:sz w:val="22"/>
                <w:szCs w:val="22"/>
              </w:rPr>
              <w:t xml:space="preserve"> (Lima), </w:t>
            </w:r>
            <w:r>
              <w:rPr>
                <w:rFonts w:ascii="Calibri" w:hAnsi="Calibri" w:eastAsia="Calibri" w:cs="Calibri"/>
                <w:i/>
                <w:iCs/>
                <w:color w:val="000000"/>
                <w:position w:val="-3"/>
                <w:sz w:val="22"/>
                <w:szCs w:val="22"/>
              </w:rPr>
              <w:t xml:space="preserve">Ecdytolopha aurantianum</w:t>
            </w:r>
            <w:r>
              <w:rPr>
                <w:rFonts w:ascii="Calibri" w:hAnsi="Calibri" w:eastAsia="Calibri" w:cs="Calibri"/>
                <w:color w:val="000000"/>
                <w:position w:val="-3"/>
                <w:sz w:val="22"/>
                <w:szCs w:val="22"/>
              </w:rPr>
              <w:t xml:space="preserve"> (Lima), </w:t>
            </w:r>
            <w:r>
              <w:rPr>
                <w:rFonts w:ascii="Calibri" w:hAnsi="Calibri" w:eastAsia="Calibri" w:cs="Calibri"/>
                <w:i/>
                <w:iCs/>
                <w:color w:val="000000"/>
                <w:position w:val="-3"/>
                <w:sz w:val="22"/>
                <w:szCs w:val="22"/>
              </w:rPr>
              <w:t xml:space="preserve">Ecdytolopha torticornis</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citrus fruit borer, macadamia nut borer</w:t>
            </w:r>
            <w:hyperlink r:id="rId48956ac4f8eaed28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21216ac4f8eaed2d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ECDYAU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30356" name="name53466ac4f8eaeda35" descr="12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64.jpg"/>
                          <pic:cNvPicPr/>
                        </pic:nvPicPr>
                        <pic:blipFill>
                          <a:blip r:embed="rId49566ac4f8eaeda33" cstate="print"/>
                          <a:stretch>
                            <a:fillRect/>
                          </a:stretch>
                        </pic:blipFill>
                        <pic:spPr>
                          <a:xfrm>
                            <a:off x="0" y="0"/>
                            <a:ext cx="2160000" cy="1281600"/>
                          </a:xfrm>
                          <a:prstGeom prst="rect">
                            <a:avLst/>
                          </a:prstGeom>
                          <a:ln w="0">
                            <a:noFill/>
                          </a:ln>
                        </pic:spPr>
                      </pic:pic>
                    </a:graphicData>
                  </a:graphic>
                </wp:inline>
              </w:drawing>
            </w:r>
            <w:hyperlink r:id="rId12236ac4f8eaedb7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color w:val="000000"/>
          <w:sz w:val="22"/>
          <w:szCs w:val="22"/>
        </w:rPr>
        <w:t xml:space="preserve">In addition to the name </w:t>
      </w:r>
      <w:r>
        <w:rPr>
          <w:rFonts w:ascii="Calibri" w:hAnsi="Calibri" w:eastAsia="Calibri" w:cs="Calibri"/>
          <w:i/>
          <w:iCs/>
          <w:color w:val="000000"/>
          <w:sz w:val="22"/>
          <w:szCs w:val="22"/>
        </w:rPr>
        <w:t xml:space="preserve">Gymnandrosoma aurantianum</w:t>
      </w:r>
      <w:r>
        <w:rPr>
          <w:rFonts w:ascii="Calibri" w:hAnsi="Calibri" w:eastAsia="Calibri" w:cs="Calibri"/>
          <w:color w:val="000000"/>
          <w:sz w:val="22"/>
          <w:szCs w:val="22"/>
        </w:rPr>
        <w:t xml:space="preserve">, the synonyms </w:t>
      </w:r>
      <w:r>
        <w:rPr>
          <w:rFonts w:ascii="Calibri" w:hAnsi="Calibri" w:eastAsia="Calibri" w:cs="Calibri"/>
          <w:i/>
          <w:iCs/>
          <w:color w:val="000000"/>
          <w:sz w:val="22"/>
          <w:szCs w:val="22"/>
        </w:rPr>
        <w:t xml:space="preserve">Ecdytolopha aurantianum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torticornis</w:t>
      </w:r>
      <w:r>
        <w:rPr>
          <w:rFonts w:ascii="Calibri" w:hAnsi="Calibri" w:eastAsia="Calibri" w:cs="Calibri"/>
          <w:color w:val="000000"/>
          <w:sz w:val="22"/>
          <w:szCs w:val="22"/>
        </w:rPr>
        <w:t xml:space="preserve"> are widely used in the literature (EPPO, 2020). Morphological and host differences were observed between the specimens in Costa Rica (</w:t>
      </w:r>
      <w:r>
        <w:rPr>
          <w:rFonts w:ascii="Calibri" w:hAnsi="Calibri" w:eastAsia="Calibri" w:cs="Calibri"/>
          <w:i/>
          <w:iCs/>
          <w:color w:val="000000"/>
          <w:sz w:val="22"/>
          <w:szCs w:val="22"/>
        </w:rPr>
        <w:t xml:space="preserve">E. torticornis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in other parts of its range. For example, the pest has only been reported infesting macadamia in Costa Rica, despite the fact that other known hosts are present in areas where the pest occurs (Blanco-Metzler, 1994; Blanco-Metzler, pers. comm. 2019). It is not known if these differences are biological and ecological or relate to the existence of a complex of species (EPPO, 2020). To date (2021–11), </w:t>
      </w:r>
      <w:r>
        <w:rPr>
          <w:rFonts w:ascii="Calibri" w:hAnsi="Calibri" w:eastAsia="Calibri" w:cs="Calibri"/>
          <w:i/>
          <w:iCs/>
          <w:color w:val="000000"/>
          <w:sz w:val="22"/>
          <w:szCs w:val="22"/>
        </w:rPr>
        <w:t xml:space="preserve">E. torticornis</w:t>
      </w:r>
      <w:r>
        <w:rPr>
          <w:rFonts w:ascii="Calibri" w:hAnsi="Calibri" w:eastAsia="Calibri" w:cs="Calibri"/>
          <w:color w:val="000000"/>
          <w:sz w:val="22"/>
          <w:szCs w:val="22"/>
        </w:rPr>
        <w:t xml:space="preserve"> is treated as a synonym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as formalized in Adamski and Brown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Gymnandrosoma aurantianum</w:t>
      </w:r>
      <w:r>
        <w:rPr>
          <w:rFonts w:ascii="Calibri" w:hAnsi="Calibri" w:eastAsia="Calibri" w:cs="Calibri"/>
          <w:color w:val="000000"/>
          <w:sz w:val="22"/>
          <w:szCs w:val="22"/>
        </w:rPr>
        <w:t xml:space="preserve"> has been recorded on a wide range of woody or herbaceous fruit plants, cultivated or in the wild, from various families. Many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species are confirmed hosts. When impact is mentioned in the recent literature, it relates mainly to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macadamia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cocoa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and sacha inchi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It is worth noting that some hosts are only recorded in older literature and do not appear in recent literature on outbreaks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authors make the hypothesis that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passed from native hosts to exotic cultivated hosts, such as macadamia in Costa Rica (Blanco-Metzler, 1994). Owing to the wide host range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and the fact that it has passed on to new hosts in the Americas, it is not excluded that it may be able to attack other fruit plants if the fruit is suitable for its development, including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species that are currently not recorded as hosts (EPPO,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Byrsonima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Cojoba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Cupania vernalis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bijugatus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saponaria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been recorded in most countries of Central and South America, as well as in Mexico and in a few countries of the Caribbean. As of 2021, its distribution extends between latitudes from ca. 19°N to 34°S (i.e. northern Argentina in the South). The current distribution and pest status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is not known for a number of countries as for these cases little information has been published or records date from the start of the 1900s (including Bolivia, Cuba, French Guiana, Honduras, Mexico, Nicaragua, Panama and Suriname; EPPO, 2020) </w:t>
      </w:r>
    </w:p>
    <w:p>
      <w:r>
        <w:drawing>
          <wp:inline distT="0" distB="0" distL="0" distR="0">
            <wp:extent cx="6120000" cy="3067200"/>
            <wp:docPr id="75095217" name="name88556ac4f8eaef585" descr="ECDY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DYAU_distribution_map.jpg"/>
                    <pic:cNvPicPr/>
                  </pic:nvPicPr>
                  <pic:blipFill>
                    <a:blip r:embed="rId20396ac4f8eaef58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Belize, Costa Rica, Cuba, Dominican Republic, El Salvador, Guatemala, Honduras, Nicaragua, Panama,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(Alagoas, Amazonas, Bahia, Distrito Federal, Espirito Santo, Goias, Maranhao, Mato Grosso, Minas Gerais, Para, Parana, Rio de Janeiro, Rio Grande do Sul, Rondonia, Santa Catarina, Sao Paulo), Colombia, Ecuador, French Guiana,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duration of the life cycle reported in the literature ranges from 27 to 96  days, and it varies with the attacked host and variety, fruit maturity, temperature and relative humidity (Bento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Fundecitrus, 2007;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White, 1999 citing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 Brazil,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seven to eight generations per year in different regions (Fundecitrus, 2007). In experiments on macadamia in the laboratory, the life cycle lasted 36 days at 23°C and 80% relative humidity, and it was noted that there may be up to 10 generations per year in favorable environmental conditions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On P.  volubilis, the average life cycle took 73 days (Leandro, 2012). In part of its range, where fruit of suitable development stages are available year round and the climatic conditions are favourable,</w:t>
      </w:r>
      <w:r>
        <w:rPr>
          <w:rFonts w:ascii="Calibri" w:hAnsi="Calibri" w:eastAsia="Calibri" w:cs="Calibri"/>
          <w:i/>
          <w:iCs/>
          <w:color w:val="000000"/>
          <w:sz w:val="22"/>
          <w:szCs w:val="22"/>
        </w:rPr>
        <w:t xml:space="preserve"> G. aurantianum</w:t>
      </w:r>
      <w:r>
        <w:rPr>
          <w:rFonts w:ascii="Calibri" w:hAnsi="Calibri" w:eastAsia="Calibri" w:cs="Calibri"/>
          <w:color w:val="000000"/>
          <w:sz w:val="22"/>
          <w:szCs w:val="22"/>
        </w:rPr>
        <w:t xml:space="preserve"> is present in the crops year round, for example in Citrusgrowing regions of Brazil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macadamia crops in Guatemala (Primo Miranda, 2003 citing Reyna, 1992) and in </w:t>
      </w:r>
      <w:r>
        <w:rPr>
          <w:rFonts w:ascii="Calibri" w:hAnsi="Calibri" w:eastAsia="Calibri" w:cs="Calibri"/>
          <w:i/>
          <w:iCs/>
          <w:color w:val="000000"/>
          <w:sz w:val="22"/>
          <w:szCs w:val="22"/>
        </w:rPr>
        <w:t xml:space="preserve">P. volubilis</w:t>
      </w:r>
      <w:r>
        <w:rPr>
          <w:rFonts w:ascii="Calibri" w:hAnsi="Calibri" w:eastAsia="Calibri" w:cs="Calibri"/>
          <w:color w:val="000000"/>
          <w:sz w:val="22"/>
          <w:szCs w:val="22"/>
        </w:rPr>
        <w:t xml:space="preserve"> crops in Peru (Leandro, 2012).</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mostly active at dusk and at dawn (BlancoMetzler, 1994; Bento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Leandro, 2012). Mating and egg-laying occur a few days after emergence. In laboratory experiments on Citrus, an average pre-oviposition period of 2–3 days was observed and egg laying lasted for 11 days on average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citing Garcia, 1998). The reported fecundity of females varies widely, from 2–74 eggs per female in experiments on macadamia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to 140–200 eggs per female in experiments on artificial diet (Garcia &amp; Parra, 1999).</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normally oviposited on the surface of the fruit (Blanco-Metzler, 1994;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Leandro, 2012).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females usually lay only one egg per fruit (Vianna, 2015; Arthur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At low pest population levels, ripe fruits are preferred, while different maturation stages including green fruit may be attacked at high population levels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Green fruits may also be attacked in early infestations (Fundecitrus, 2007). On macadamia, eggs are laid individually on the surface of nuts and females prefer immature nuts (with soft shells). The majority of infested nuts have one or two eggs laid on them, but up to eight eggs per nut have been recorded. Larvae are mostly found singly, but when the pest is abundant, it is possible to find up to three or four larvae in a nut, usually at different instar stages (Blanco-Metzler, 1994). On </w:t>
      </w:r>
      <w:r>
        <w:rPr>
          <w:rFonts w:ascii="Calibri" w:hAnsi="Calibri" w:eastAsia="Calibri" w:cs="Calibri"/>
          <w:i/>
          <w:iCs/>
          <w:color w:val="000000"/>
          <w:sz w:val="22"/>
          <w:szCs w:val="22"/>
        </w:rPr>
        <w:t xml:space="preserve">P. volubilis,</w:t>
      </w:r>
      <w:r>
        <w:rPr>
          <w:rFonts w:ascii="Calibri" w:hAnsi="Calibri" w:eastAsia="Calibri" w:cs="Calibri"/>
          <w:color w:val="000000"/>
          <w:sz w:val="22"/>
          <w:szCs w:val="22"/>
        </w:rPr>
        <w:t xml:space="preserve"> there was only one larva per fruit in 75% of infested fruit, and two or three larvae in the remaining 25% (Leandro, 2012). Finally, on </w:t>
      </w:r>
      <w:r>
        <w:rPr>
          <w:rFonts w:ascii="Calibri" w:hAnsi="Calibri" w:eastAsia="Calibri" w:cs="Calibri"/>
          <w:i/>
          <w:iCs/>
          <w:color w:val="000000"/>
          <w:sz w:val="22"/>
          <w:szCs w:val="22"/>
        </w:rPr>
        <w:t xml:space="preserve">T. cacao,</w:t>
      </w:r>
      <w:r>
        <w:rPr>
          <w:rFonts w:ascii="Calibri" w:hAnsi="Calibri" w:eastAsia="Calibri" w:cs="Calibri"/>
          <w:color w:val="000000"/>
          <w:sz w:val="22"/>
          <w:szCs w:val="22"/>
        </w:rPr>
        <w:t xml:space="preserve"> the pest mainly attacks fruits when they start changing colour to ripe fruit, but green fruits are also attacked; there may be over 20 entry holes per fruit (Nakayama, 2018).</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hatching, larvae enter the fruit within a few hours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citing Carvalho, 2003).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within 2–3 days of entry, excrement appears on the rind of the fruit at the entrance hole (Vianna, 2015). On macadamia, larvae feed mainly on the husk, but if the shell has not hardened they tunnel into the kernel (Blanco-Metzler, 1994). In most hosts, larvae remain in the fruit they first enter, but on </w:t>
      </w:r>
      <w:r>
        <w:rPr>
          <w:rFonts w:ascii="Calibri" w:hAnsi="Calibri" w:eastAsia="Calibri" w:cs="Calibri"/>
          <w:i/>
          <w:iCs/>
          <w:color w:val="000000"/>
          <w:sz w:val="22"/>
          <w:szCs w:val="22"/>
        </w:rPr>
        <w:t xml:space="preserve">Byrsonima crassifolia </w:t>
      </w:r>
      <w:r>
        <w:rPr>
          <w:rFonts w:ascii="Calibri" w:hAnsi="Calibri" w:eastAsia="Calibri" w:cs="Calibri"/>
          <w:color w:val="000000"/>
          <w:sz w:val="22"/>
          <w:szCs w:val="22"/>
        </w:rPr>
        <w:t xml:space="preserve">they are reported to move to nearby fruit (Gomez Orellana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probably because there are insufficient resources in one fruit (small fruit with little flesh;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crops, pupation occurs mostly in the soil at the base of the plant, and occasionally in other places such as in the fruit (White &amp; Tuck, 1993;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Fundecitrus, 2007). Larvae produce a thread on which they descend to the ground (Fundecitrus, 2007). In laboratory experiments,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was found to pupate between 0 and 1.5 cm depth, in both humid and dry substrates (Bento, 2008). On macadamia, pupae are mostly found in the nuts or in a cocoon spun by larvae between several nuts in a cluster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Blanco-Metzler, 1994).</w:t>
      </w:r>
    </w:p>
    <w:p>
      <w:pPr>
        <w:widowControl w:val="on"/>
        <w:pBdr/>
        <w:spacing w:before="220" w:after="220" w:line="240" w:lineRule="auto"/>
        <w:ind w:left="0" w:right="0"/>
        <w:jc w:val="both"/>
      </w:pPr>
      <w:r>
        <w:rPr>
          <w:rFonts w:ascii="Calibri" w:hAnsi="Calibri" w:eastAsia="Calibri" w:cs="Calibri"/>
          <w:color w:val="000000"/>
          <w:sz w:val="22"/>
          <w:szCs w:val="22"/>
        </w:rPr>
        <w:t xml:space="preserve">An average temperature of 30°C is reported as being the most suitable for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development in Brazil (Fundecitrus, 2007). Viability experiments conducted at 18–32°C are summarized in Parra (2016, based on Garcia, 1998), and male abundance at different temperatures in Reis Jr.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A relative humidity of 30–50% decreases the longevity and oviposition capacity of adults (Gómez Torres, 2005 citing Garcia 1998; Leite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In dry seasons, there may be a high abundance of adults (i.e. males trapped) but no damage observed on fruit because the oviposition capacity is reduced at relative humidities below 50% (Fundecitrus,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Signs and symptoms of infestation are on fruit. At early stages of infestation, symptoms are not readily visible externally. In particular, eggs are small and there is often only one egg per fruit. The entry hole is also minute (ca. 1.5  mm on </w:t>
      </w:r>
      <w:r>
        <w:rPr>
          <w:rFonts w:ascii="Calibri" w:hAnsi="Calibri" w:eastAsia="Calibri" w:cs="Calibri"/>
          <w:i/>
          <w:iCs/>
          <w:color w:val="000000"/>
          <w:sz w:val="22"/>
          <w:szCs w:val="22"/>
        </w:rPr>
        <w:t xml:space="preserve">Melicoccus bijugatus</w:t>
      </w:r>
      <w:r>
        <w:rPr>
          <w:rFonts w:ascii="Calibri" w:hAnsi="Calibri" w:eastAsia="Calibri" w:cs="Calibri"/>
          <w:color w:val="000000"/>
          <w:sz w:val="22"/>
          <w:szCs w:val="22"/>
        </w:rPr>
        <w:t xml:space="preserve">; Cabrera-Asencio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Symptoms become visible at later stages of infestation.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infestation may cause abnormal coloration, necrotic or bleached areas at the entry hole and fruit fall (White &amp; Tuck, 1993; Fundecitrus, 2007). Discoloration of fruit and rot are reported in several hosts such as </w:t>
      </w:r>
      <w:r>
        <w:rPr>
          <w:rFonts w:ascii="Calibri" w:hAnsi="Calibri" w:eastAsia="Calibri" w:cs="Calibri"/>
          <w:i/>
          <w:iCs/>
          <w:color w:val="000000"/>
          <w:sz w:val="22"/>
          <w:szCs w:val="22"/>
        </w:rPr>
        <w:t xml:space="preserve">P.  volubilis, M.  bijugatus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cacao</w:t>
      </w:r>
      <w:r>
        <w:rPr>
          <w:rFonts w:ascii="Calibri" w:hAnsi="Calibri" w:eastAsia="Calibri" w:cs="Calibri"/>
          <w:color w:val="000000"/>
          <w:sz w:val="22"/>
          <w:szCs w:val="22"/>
        </w:rPr>
        <w:t xml:space="preserve"> (Leandro, 2012; Cabrera-Asencio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Nakayama, 2018). Frass may be seen extruding from the hole and sticking to the fruit surface (Fundecitrus, 2007, 2019). On macadamia, the entry hole may be enlarged and frass may emerge from the entry hole. If pupae are in the nuts, close to adult emergence, one-third of their body protrudes from the nut (Blanco-Metzler,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are ca. 1.2 mm long, flattened and circular to ovoid in shape, pale white, darkening to reddish-brown as development occurs (Blanco-Metzler, 1994).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are eruciform, 5  mm long (newly hatched larvae) to ca. 15–19 mm long (mature larvae). The body is pale yellow and the head pale yellow to pale orange with a red-brown patch (Adamski &amp; Brown, 2001; Yamamoto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citing Prates &amp; Pinto, 1988, 1991). There are four to five larval instars (Blanco-Metzler, 1994; Gómez Torres, 2005 citing Garcia, 1998). Larvae of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can be distinguished from those of </w:t>
      </w:r>
      <w:r>
        <w:rPr>
          <w:rFonts w:ascii="Calibri" w:hAnsi="Calibri" w:eastAsia="Calibri" w:cs="Calibri"/>
          <w:i/>
          <w:iCs/>
          <w:color w:val="000000"/>
          <w:sz w:val="22"/>
          <w:szCs w:val="22"/>
        </w:rPr>
        <w:t xml:space="preserve">Ecdytolopha </w:t>
      </w:r>
      <w:r>
        <w:rPr>
          <w:rFonts w:ascii="Calibri" w:hAnsi="Calibri" w:eastAsia="Calibri" w:cs="Calibri"/>
          <w:color w:val="000000"/>
          <w:sz w:val="22"/>
          <w:szCs w:val="22"/>
        </w:rPr>
        <w:t xml:space="preserve">by the distance between various setae (details in Gilligan &amp; Epstein, 2014). A setal map is given in Adamski and Brown (2001). A key to </w:t>
      </w:r>
      <w:r>
        <w:rPr>
          <w:rFonts w:ascii="Calibri" w:hAnsi="Calibri" w:eastAsia="Calibri" w:cs="Calibri"/>
          <w:i/>
          <w:iCs/>
          <w:color w:val="000000"/>
          <w:sz w:val="22"/>
          <w:szCs w:val="22"/>
        </w:rPr>
        <w:t xml:space="preserve">Ecdytolopha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larvae and a description of last instar larvae of</w:t>
      </w:r>
      <w:r>
        <w:rPr>
          <w:rFonts w:ascii="Calibri" w:hAnsi="Calibri" w:eastAsia="Calibri" w:cs="Calibri"/>
          <w:i/>
          <w:iCs/>
          <w:color w:val="000000"/>
          <w:sz w:val="22"/>
          <w:szCs w:val="22"/>
        </w:rPr>
        <w:t xml:space="preserve"> G.  aurantianum</w:t>
      </w:r>
      <w:r>
        <w:rPr>
          <w:rFonts w:ascii="Calibri" w:hAnsi="Calibri" w:eastAsia="Calibri" w:cs="Calibri"/>
          <w:color w:val="000000"/>
          <w:sz w:val="22"/>
          <w:szCs w:val="22"/>
        </w:rPr>
        <w:t xml:space="preserve"> are provided in Adamski and Brown (2001). Brown (2011) provides an online interactive tool to determine if a larvae is a Tortricidae and its possible identity (based on species intercepted in the USA) depending on the host fruit and its geographical origin (</w:t>
      </w:r>
      <w:hyperlink r:id="rId44866ac4f8eaf08b1" w:history="1">
        <w:r>
          <w:rPr>
            <w:rFonts w:ascii="Calibri" w:hAnsi="Calibri" w:eastAsia="Calibri" w:cs="Calibri"/>
            <w:color w:val="0000CC"/>
            <w:sz w:val="22"/>
            <w:szCs w:val="22"/>
            <w:u w:val="single"/>
          </w:rPr>
          <w:t xml:space="preserve">http://idtools.org/id/leps/tortai/keys/TortAILarv ae.html</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fusiform, 9–12  mm long and 2.5–3  mm wide, rounded at both extremities (Adamski &amp; Brown, 2001). Pupae are first pale yellow, becoming brown (Blanco-Metzler, 1994). Pupae of different species of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cannot be distinguished (Adamski &amp; Brown, 2001).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 10  mm long (Gomez Orellana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with a wingspan of ca. 11–18 mm (White &amp; Tuck, 1993; Molet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They are brown with indistinct reddish-brown and black markings. Most individuals  have a conspicuous white dot on the distal one-third of the forewing (Gilligan &amp; Epstein, 2014). Males can be distinguished from other species of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through external characteristics (on antenna and tibia), while females need to be dissected (Gilligan &amp; Epstein, 2014). A key to </w:t>
      </w:r>
      <w:r>
        <w:rPr>
          <w:rFonts w:ascii="Calibri" w:hAnsi="Calibri" w:eastAsia="Calibri" w:cs="Calibri"/>
          <w:i/>
          <w:iCs/>
          <w:color w:val="000000"/>
          <w:sz w:val="22"/>
          <w:szCs w:val="22"/>
        </w:rPr>
        <w:t xml:space="preserve">Ecdytolopha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adults and a description of adults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are provided in Adamski and Brown (2001). Illustrated nomenclature of adult genitalia can be found in Adamski and Brown (2001) and Gilligan and Epstein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 pheromone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been identified and pheromone traps have been commercially available in Brazil since 2002 (Leal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Bento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Details on monitoring using pheromone traps are provided in the EPPO pest risk analysis (EPPO, 2020). The presence of adults is otherwise not easy to detect visually in the field (small size, remain inactive on the plant during the day, mimetic on branches; Blanco-Metzler, 1994;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fruit are difficult to detect at early stages of infestation and low levels of infestation (USDA, 2003). On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and other fruit, frass extruding from the entry hole is a good indicator of the presence of the pest (Batista Pereira, 2008; Vianna, 2015).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been detected in consignments of fruit in trade and in fruits carried by passengers. Symptoms on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fruits are quite similar to those of fruit flies; however, the main difference is that the frass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hardens in the rind, while the site of damage by fruit flies is soft and rotted (Fundecitrus, 2007,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Gymnandrosoma aurantianum</w:t>
      </w:r>
      <w:r>
        <w:rPr>
          <w:rFonts w:ascii="Calibri" w:hAnsi="Calibri" w:eastAsia="Calibri" w:cs="Calibri"/>
          <w:color w:val="000000"/>
          <w:sz w:val="22"/>
          <w:szCs w:val="22"/>
        </w:rPr>
        <w:t xml:space="preserve"> can be identified based on the morphology of adults and larvae (Adamski &amp; Brown, 2001) and taxonomic expertise on the family Tortricidae is needed to confirm identification (Gilligan &amp; Epstein, 2014). The pest is very similar to other species in </w:t>
      </w:r>
      <w:r>
        <w:rPr>
          <w:rFonts w:ascii="Calibri" w:hAnsi="Calibri" w:eastAsia="Calibri" w:cs="Calibri"/>
          <w:i/>
          <w:iCs/>
          <w:color w:val="000000"/>
          <w:sz w:val="22"/>
          <w:szCs w:val="22"/>
        </w:rPr>
        <w:t xml:space="preserve">Ecdytolopha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Gymnandrosoma</w:t>
      </w:r>
      <w:r>
        <w:rPr>
          <w:rFonts w:ascii="Calibri" w:hAnsi="Calibri" w:eastAsia="Calibri" w:cs="Calibri"/>
          <w:color w:val="000000"/>
          <w:sz w:val="22"/>
          <w:szCs w:val="22"/>
        </w:rPr>
        <w:t xml:space="preserve">, and there have been cases of misidentification with other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species or other Tortricidae (Adamski &amp; Brown, 2001).</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molecular identification, barcodes are available for several specimens from various countries (</w:t>
      </w:r>
      <w:hyperlink r:id="rId80046ac4f8eaf0d35" w:history="1">
        <w:r>
          <w:rPr>
            <w:rFonts w:ascii="Calibri" w:hAnsi="Calibri" w:eastAsia="Calibri" w:cs="Calibri"/>
            <w:color w:val="0000CC"/>
            <w:sz w:val="22"/>
            <w:szCs w:val="22"/>
            <w:u w:val="single"/>
          </w:rPr>
          <w:t xml:space="preserve">http://v4.boldsystems.org/</w:t>
        </w:r>
      </w:hyperlink>
      <w:r>
        <w:rPr>
          <w:rFonts w:ascii="Calibri" w:hAnsi="Calibri" w:eastAsia="Calibri" w:cs="Calibri"/>
          <w:color w:val="000000"/>
          <w:sz w:val="22"/>
          <w:szCs w:val="22"/>
        </w:rPr>
        <w:t xml:space="preserve">). There are also sequences from several specimens of other </w:t>
      </w:r>
      <w:r>
        <w:rPr>
          <w:rFonts w:ascii="Calibri" w:hAnsi="Calibri" w:eastAsia="Calibri" w:cs="Calibri"/>
          <w:i/>
          <w:iCs/>
          <w:color w:val="000000"/>
          <w:sz w:val="22"/>
          <w:szCs w:val="22"/>
        </w:rPr>
        <w:t xml:space="preserve">Ecdytolopha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species in GenBank. However, it is not clear if the data available would be sufficient for a reliable molecular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fruit, is the most likely pathway for spread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either in trade or in passenger luggage.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is known to be mostly associated with crops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macadamia and </w:t>
      </w:r>
      <w:r>
        <w:rPr>
          <w:rFonts w:ascii="Calibri" w:hAnsi="Calibri" w:eastAsia="Calibri" w:cs="Calibri"/>
          <w:i/>
          <w:iCs/>
          <w:color w:val="000000"/>
          <w:sz w:val="22"/>
          <w:szCs w:val="22"/>
        </w:rPr>
        <w:t xml:space="preserve">T.  cacao</w:t>
      </w:r>
      <w:r>
        <w:rPr>
          <w:rFonts w:ascii="Calibri" w:hAnsi="Calibri" w:eastAsia="Calibri" w:cs="Calibri"/>
          <w:color w:val="000000"/>
          <w:sz w:val="22"/>
          <w:szCs w:val="22"/>
        </w:rPr>
        <w:t xml:space="preserve"> depending on the origin of the fruit. However, it has been intercepted in a wider range of fruit, such as </w:t>
      </w:r>
      <w:r>
        <w:rPr>
          <w:rFonts w:ascii="Calibri" w:hAnsi="Calibri" w:eastAsia="Calibri" w:cs="Calibri"/>
          <w:i/>
          <w:iCs/>
          <w:color w:val="000000"/>
          <w:sz w:val="22"/>
          <w:szCs w:val="22"/>
        </w:rPr>
        <w:t xml:space="preserve">Psidium guajava, B.  crassifolia, Punica granatum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bijugatus</w:t>
      </w:r>
      <w:r>
        <w:rPr>
          <w:rFonts w:ascii="Calibri" w:hAnsi="Calibri" w:eastAsia="Calibri" w:cs="Calibri"/>
          <w:color w:val="000000"/>
          <w:sz w:val="22"/>
          <w:szCs w:val="22"/>
        </w:rPr>
        <w:t xml:space="preserve"> (for exhaustive lists, see EPPO, 2020). In trade, packaging associated with fruit may carry pupae if larvae pupate during transport or storage. It is worth noting that association with nuts of the major host macadamia is very unlikely in trade, because macadamia nuts are normally commercialized after processing, and trading macadamia nuts fresh with husks is not a known practice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Traded host fruit are imported for consumption or processing, and transfer to a host is generally unlikely, because the pest will be destroyed during processing or damaged fruit will be identified and discarded by processors, retailers or the final consumer in enclosed conditions. However, the pest may be able to transfer to a suitable host where fruit waste from processing or damaged fruit from repacking is discarded in large quantities in the open, close to orchards. This may happen where imported fruit is stored or repacked close to production facilities. Although fruit carried by passengers may contain larvae, transfer to a host would be difficult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assessed the likelihood of entry to the EPPO region on host plants for planting as low. Eggs and larvae may be present on the plant only if there are fruit, which is unlikely for young plants traded internationally, and pupae may be present in the soil or growing medium only if the plant had already borne fruit. Any phytosanitary requirements commonly made regarding dormancy, sanitation or replacement of soil or growing medium associated with plants, and the absence of fruit, would lower the likelihood of association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Nevertheless, plants for planting may contribute to spread within the EPPO region once introduced, as they may not be subject to similar requirements and, if a nursery producing plants for planting with fruit was infested, there may be many larvae in fruit, or pupae in the soil or growing medium. There are no detailed data on the dispersal capacity of adults, but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is reported to be a poor flier with limited flight activity (Batista Pereira, 2008; Blanco-Metzler, 1994 citing Chamberlain, 1989). If the pest is introduced in the EPPO region, flight may contribute to local spread from orchard to orchard. In part of the EPPO region (especially the Mediterranean area), there is a widespread presence of host fruit trees such as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peach and tropical hosts, which could facilitate such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damage is caused by larvae feeding in the fruit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Fundecitrus, 2007; White &amp; Tuck, 1993; </w:t>
      </w:r>
      <w:r>
        <w:rPr>
          <w:rFonts w:ascii="Calibri" w:hAnsi="Calibri" w:eastAsia="Calibri" w:cs="Calibri"/>
          <w:i/>
          <w:iCs/>
          <w:color w:val="000000"/>
          <w:sz w:val="22"/>
          <w:szCs w:val="22"/>
        </w:rPr>
        <w:t xml:space="preserve">P.  volubilis</w:t>
      </w:r>
      <w:r>
        <w:rPr>
          <w:rFonts w:ascii="Calibri" w:hAnsi="Calibri" w:eastAsia="Calibri" w:cs="Calibri"/>
          <w:color w:val="000000"/>
          <w:sz w:val="22"/>
          <w:szCs w:val="22"/>
        </w:rPr>
        <w:t xml:space="preserve">, Leandro, 2012; </w:t>
      </w:r>
      <w:r>
        <w:rPr>
          <w:rFonts w:ascii="Calibri" w:hAnsi="Calibri" w:eastAsia="Calibri" w:cs="Calibri"/>
          <w:i/>
          <w:iCs/>
          <w:color w:val="000000"/>
          <w:sz w:val="22"/>
          <w:szCs w:val="22"/>
        </w:rPr>
        <w:t xml:space="preserve">M. bijugatus</w:t>
      </w:r>
      <w:r>
        <w:rPr>
          <w:rFonts w:ascii="Calibri" w:hAnsi="Calibri" w:eastAsia="Calibri" w:cs="Calibri"/>
          <w:color w:val="000000"/>
          <w:sz w:val="22"/>
          <w:szCs w:val="22"/>
        </w:rPr>
        <w:t xml:space="preserve">, Cabrera-Asencio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Larvae may also reach the seeds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White &amp; Tuck, 1993; </w:t>
      </w:r>
      <w:r>
        <w:rPr>
          <w:rFonts w:ascii="Calibri" w:hAnsi="Calibri" w:eastAsia="Calibri" w:cs="Calibri"/>
          <w:i/>
          <w:iCs/>
          <w:color w:val="000000"/>
          <w:sz w:val="22"/>
          <w:szCs w:val="22"/>
        </w:rPr>
        <w:t xml:space="preserve">P. volubilis</w:t>
      </w:r>
      <w:r>
        <w:rPr>
          <w:rFonts w:ascii="Calibri" w:hAnsi="Calibri" w:eastAsia="Calibri" w:cs="Calibri"/>
          <w:color w:val="000000"/>
          <w:sz w:val="22"/>
          <w:szCs w:val="22"/>
        </w:rPr>
        <w:t xml:space="preserve">, Leandro, 2012; macadamia, Blanco-Metzler, 1994; </w:t>
      </w:r>
      <w:r>
        <w:rPr>
          <w:rFonts w:ascii="Calibri" w:hAnsi="Calibri" w:eastAsia="Calibri" w:cs="Calibri"/>
          <w:i/>
          <w:iCs/>
          <w:color w:val="000000"/>
          <w:sz w:val="22"/>
          <w:szCs w:val="22"/>
        </w:rPr>
        <w:t xml:space="preserve">T.  cacao</w:t>
      </w:r>
      <w:r>
        <w:rPr>
          <w:rFonts w:ascii="Calibri" w:hAnsi="Calibri" w:eastAsia="Calibri" w:cs="Calibri"/>
          <w:color w:val="000000"/>
          <w:sz w:val="22"/>
          <w:szCs w:val="22"/>
        </w:rPr>
        <w:t xml:space="preserve">, Nakayama, 2018). Indirect damage is due to secondary infestation of larval galleries by other organisms, such as fungi, bacteria, beetles, fruit flies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White &amp; Tuck, 1993; Gilligan &amp; Epstein, 2014;</w:t>
      </w:r>
      <w:r>
        <w:rPr>
          <w:rFonts w:ascii="Calibri" w:hAnsi="Calibri" w:eastAsia="Calibri" w:cs="Calibri"/>
          <w:i/>
          <w:iCs/>
          <w:color w:val="000000"/>
          <w:sz w:val="22"/>
          <w:szCs w:val="22"/>
        </w:rPr>
        <w:t xml:space="preserve"> B. crassifolia</w:t>
      </w:r>
      <w:r>
        <w:rPr>
          <w:rFonts w:ascii="Calibri" w:hAnsi="Calibri" w:eastAsia="Calibri" w:cs="Calibri"/>
          <w:color w:val="000000"/>
          <w:sz w:val="22"/>
          <w:szCs w:val="22"/>
        </w:rPr>
        <w:t xml:space="preserve">, Gomez Orellana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macadamia, Primo Miranda, 2003), which cause the fruit or nut to rot or fall prematurely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Fundecitrus, 2007; Cabrera-Asencio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The type of damage is not documented for all hosts, but is probably similar (damage to fruit flesh and seeds, fruit rot, secondary infestation by other organisms, possibly premature fall). Economic impact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on fruit production has been reported in Central and South America. For most hosts, once larvae have entered the fruit, it becomes unsuitable for consumption, commercialization and processing (Citrus, Bento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M. bijugatus</w:t>
      </w:r>
      <w:r>
        <w:rPr>
          <w:rFonts w:ascii="Calibri" w:hAnsi="Calibri" w:eastAsia="Calibri" w:cs="Calibri"/>
          <w:color w:val="000000"/>
          <w:sz w:val="22"/>
          <w:szCs w:val="22"/>
        </w:rPr>
        <w:t xml:space="preserve">, Cabrera-Asencio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However, superficial damage does not prevent the use of macadamia fruit (Blanco-Metzler, 1994) or seeds of </w:t>
      </w:r>
      <w:r>
        <w:rPr>
          <w:rFonts w:ascii="Calibri" w:hAnsi="Calibri" w:eastAsia="Calibri" w:cs="Calibri"/>
          <w:i/>
          <w:iCs/>
          <w:color w:val="000000"/>
          <w:sz w:val="22"/>
          <w:szCs w:val="22"/>
        </w:rPr>
        <w:t xml:space="preserve">T. cacao</w:t>
      </w:r>
      <w:r>
        <w:rPr>
          <w:rFonts w:ascii="Calibri" w:hAnsi="Calibri" w:eastAsia="Calibri" w:cs="Calibri"/>
          <w:color w:val="000000"/>
          <w:sz w:val="22"/>
          <w:szCs w:val="22"/>
        </w:rPr>
        <w:t xml:space="preserve"> (Nakayama, 2018). The occurrence of the pest can also have consequences for export (Garcia &amp; Parra, 1999).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is a quarantine pest for several countries, with phytosanitary requirements mostly relating to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or macadamia.</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impact on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production is well documented from Brazil.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was first observed causing damage in São Paulo State in 1915 (Bento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citing Lima, 1927). It remained a minor pest until the end of the 1980s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then became a limiting factor to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production. In São Paulo State, damage was estimated at 50  million USD per year during the 1990s and yield losses up to 50% were reported (Anonymous, 2016; Bento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citing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Following the implementation of a new IPM strategy based on pheromone traps, losses were reduced by on average to 0.6–1 fruit per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plant in São Paulo and Minas Gerais (Bento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2004 citing Carvalho, 2003).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also been reported as a pest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Ecuador (Noboa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and there are older records of severe infestations in Argentina at the end of the 1930s (Lima, 1945), and at the beginning of the 1990s in Trinidad (White, 1999). In Uruguay,</w:t>
      </w:r>
      <w:r>
        <w:rPr>
          <w:rFonts w:ascii="Calibri" w:hAnsi="Calibri" w:eastAsia="Calibri" w:cs="Calibri"/>
          <w:i/>
          <w:iCs/>
          <w:color w:val="000000"/>
          <w:sz w:val="22"/>
          <w:szCs w:val="22"/>
        </w:rPr>
        <w:t xml:space="preserve"> G. aurantianum</w:t>
      </w:r>
      <w:r>
        <w:rPr>
          <w:rFonts w:ascii="Calibri" w:hAnsi="Calibri" w:eastAsia="Calibri" w:cs="Calibri"/>
          <w:color w:val="000000"/>
          <w:sz w:val="22"/>
          <w:szCs w:val="22"/>
        </w:rPr>
        <w:t xml:space="preserve"> is mentioned as being occasional and not of potential economic importance (COSAVE-IICA, 1999), with infestations limited to isolated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fruits in domestic groves (USDA, 2012 citing Bentancourt and Scatoni, 2006).</w:t>
      </w:r>
    </w:p>
    <w:p>
      <w:pPr>
        <w:widowControl w:val="on"/>
        <w:pBdr/>
        <w:spacing w:before="220" w:after="220" w:line="240" w:lineRule="auto"/>
        <w:ind w:left="0" w:right="0"/>
        <w:jc w:val="both"/>
      </w:pPr>
      <w:r>
        <w:rPr>
          <w:rFonts w:ascii="Calibri" w:hAnsi="Calibri" w:eastAsia="Calibri" w:cs="Calibri"/>
          <w:color w:val="000000"/>
          <w:sz w:val="22"/>
          <w:szCs w:val="22"/>
        </w:rPr>
        <w:t xml:space="preserve">On macadamia, damage from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(then known as</w:t>
      </w:r>
      <w:r>
        <w:rPr>
          <w:rFonts w:ascii="Calibri" w:hAnsi="Calibri" w:eastAsia="Calibri" w:cs="Calibri"/>
          <w:i/>
          <w:iCs/>
          <w:color w:val="000000"/>
          <w:sz w:val="22"/>
          <w:szCs w:val="22"/>
        </w:rPr>
        <w:t xml:space="preserve"> E. torticornis</w:t>
      </w:r>
      <w:r>
        <w:rPr>
          <w:rFonts w:ascii="Calibri" w:hAnsi="Calibri" w:eastAsia="Calibri" w:cs="Calibri"/>
          <w:color w:val="000000"/>
          <w:sz w:val="22"/>
          <w:szCs w:val="22"/>
        </w:rPr>
        <w:t xml:space="preserve">) in Costa Rica was first observed in 1986 and maximum nut damage progressively increased to reach ca. 40% (Blanco-Metzler, 1994 citing Lara 1987;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citing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Management strategies have reduced the impact of the pest below its economic damage threshold (H. Blanco-Metzler, pers. comm., 2019). Damage on macadamia was also reported in Guatemala (Primo Miranda, 2003), Colombia (García, 2005), Venezuela (Briceño &amp; Sharkey, 2000 citing Arizaleta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1997) and recently in Brazil (Soares de Matos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Theobroma cacao, G. aurantianum</w:t>
      </w:r>
      <w:r>
        <w:rPr>
          <w:rFonts w:ascii="Calibri" w:hAnsi="Calibri" w:eastAsia="Calibri" w:cs="Calibri"/>
          <w:color w:val="000000"/>
          <w:sz w:val="22"/>
          <w:szCs w:val="22"/>
        </w:rPr>
        <w:t xml:space="preserve"> has been reported as a pest in Venezuela (Delgado Puchi, 2005), Colombia (Muñoz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and recently Brazil (Nakayama, 2018). Economic impact has also been reported on </w:t>
      </w:r>
      <w:r>
        <w:rPr>
          <w:rFonts w:ascii="Calibri" w:hAnsi="Calibri" w:eastAsia="Calibri" w:cs="Calibri"/>
          <w:i/>
          <w:iCs/>
          <w:color w:val="000000"/>
          <w:sz w:val="22"/>
          <w:szCs w:val="22"/>
        </w:rPr>
        <w:t xml:space="preserve">P. volubilis</w:t>
      </w:r>
      <w:r>
        <w:rPr>
          <w:rFonts w:ascii="Calibri" w:hAnsi="Calibri" w:eastAsia="Calibri" w:cs="Calibri"/>
          <w:color w:val="000000"/>
          <w:sz w:val="22"/>
          <w:szCs w:val="22"/>
        </w:rPr>
        <w:t xml:space="preserve"> in Peru (Leandro, 2012). Information on impact is not available from many countries where the pest occurs, and for many hosts. It is possible that in some countries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is not present in commercial fruit production, and only attacks native hosts or fruit hosts in other situations (native environment, gardens, parks, urban areas, etc.).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are well documented for Citrus crops in Brazil. In the 1980s, control relied on the application of pesticides when attacked fruits were observed, which did not control the pest and eliminated natural enemies, thereby increasing losses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At the beginning of the 2000s, the sex pheromone was identified, and an alternative strategy was developed, based on the application of microbial or chemical sprays when a threshold of males in pheromone traps is reached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total volume of insecticides sprayed in the monitored areas decreased by at least 50% (Parra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Parasitoids and predators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are documented (Briceño &amp; Sharkey, 2000; Gómez Torres, 2005; Leite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Batista Pereira, 2008;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natural enemies have a role in controlling the pest in the field. However, natural enemies are apparently not being actively released in the framework of biological control strategies. Cultural control is used on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in Brazil in addition to chemical control, and is effective on its own in macadamia crops in Costa Rica.</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measures include collecting and destroying infested fruit on the ground and on trees (Fundecitrus, 2019), early harvest in case of attack to avoid the build-up of populations (Fundecitrus, 2007, 2019) and avoiding planting fruit-bearing hosts within a radius of 400 m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(Batista Pereira, 2008). In macadamia crops, control relies on monitoring, replacement of susceptible clones and more frequent harvest to avoid completion of the life cycle. Finally, macadamia husks are traditionally disposed of on the ground in the orchards after nut processing, but this favours infestations and should be avoided (Blanco-Metzler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is a main host of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and has a high economic importance in the EPPO region. The EPPO PRA determined that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may pose a risk in areas where host fruits are present all year round, where climatic conditions are suitable and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is grown (i.e. on the Mediterranean coast, southern Portugal and the Atlantic coast of Morocco, as well as part of northern Italy, the Balkans and the Black sea area) (EPPO, 2020). In such areas, economic impact in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crops may be initially as high as that seen in Brazil, depending on how early the pest is detected, but an IPM programme using pheromone traps could be developed based on that in Brazil. Many hosts, such as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and to a lesser extent tropical fruit hosts (such as </w:t>
      </w:r>
      <w:r>
        <w:rPr>
          <w:rFonts w:ascii="Calibri" w:hAnsi="Calibri" w:eastAsia="Calibri" w:cs="Calibri"/>
          <w:i/>
          <w:iCs/>
          <w:color w:val="000000"/>
          <w:sz w:val="22"/>
          <w:szCs w:val="22"/>
        </w:rPr>
        <w:t xml:space="preserve">Annona cherimola, Averrhoa carambola, Macadamia integrifolia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are present in the EPPO region, which may increase economic impact and integrated strategies may need to be adapted. </w:t>
      </w:r>
      <w:r>
        <w:rPr>
          <w:rFonts w:ascii="Calibri" w:hAnsi="Calibri" w:eastAsia="Calibri" w:cs="Calibri"/>
          <w:i/>
          <w:iCs/>
          <w:color w:val="000000"/>
          <w:sz w:val="22"/>
          <w:szCs w:val="22"/>
        </w:rPr>
        <w:t xml:space="preserve">G. aurantianum</w:t>
      </w:r>
      <w:r>
        <w:rPr>
          <w:rFonts w:ascii="Calibri" w:hAnsi="Calibri" w:eastAsia="Calibri" w:cs="Calibri"/>
          <w:color w:val="000000"/>
          <w:sz w:val="22"/>
          <w:szCs w:val="22"/>
        </w:rPr>
        <w:t xml:space="preserve"> has attacked new hosts in the Americas, and may also pass on to new hosts in the EPPO region. Finally, the presence of this pest in the EPPO region may affect export markets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2020) recommended phytosanitary measures for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fruit, with options such as pestfree area, pest-free place of production and pest-free production site. In addition, a systems approach was recommended, combining visual inspection in the field (with cutting of representative samples of fallen fruit), treatment of the crop based on monitoring with pheromone traps, visual examination at harvest and during handling/ packing of the consignment and visual inspection at export (with cutting of representative samples of fruit). In addition, only new or cleaned packaging should be used to avoid the presence of pupae. Such measures can also be considered for other host fruit if necessary. It is worth noting that no treatment can currently be recommended for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fruit or other host fruit. In particular, no cold treatment schedule is available against this pest. As for many fruit pests, the separation of fruit imports and production is important (see Pathways for movement). Measures such as awareness and checks may be applied to travellers’ luggage to prevent entry with fruit, and to a lesser extent with plants for planting. The pest is less likely to enter on host plants for planting in trade and measures were not recommended.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Adamski D &amp; Brown JW (2001) Systematic revision of the </w:t>
      </w:r>
      <w:r>
        <w:rPr>
          <w:rFonts w:ascii="Calibri" w:hAnsi="Calibri" w:eastAsia="Calibri" w:cs="Calibri"/>
          <w:i/>
          <w:iCs/>
          <w:color w:val="000000"/>
          <w:sz w:val="22"/>
          <w:szCs w:val="22"/>
        </w:rPr>
        <w:t xml:space="preserve">Ecdytolopha </w:t>
      </w:r>
      <w:r>
        <w:rPr>
          <w:rFonts w:ascii="Calibri" w:hAnsi="Calibri" w:eastAsia="Calibri" w:cs="Calibri"/>
          <w:color w:val="000000"/>
          <w:sz w:val="22"/>
          <w:szCs w:val="22"/>
        </w:rPr>
        <w:t xml:space="preserve">group of genera (Lepidoptera: Tortricidae: Grapholitini) in the New World. </w:t>
      </w:r>
      <w:r>
        <w:rPr>
          <w:rFonts w:ascii="Calibri" w:hAnsi="Calibri" w:eastAsia="Calibri" w:cs="Calibri"/>
          <w:i/>
          <w:iCs/>
          <w:color w:val="000000"/>
          <w:sz w:val="22"/>
          <w:szCs w:val="22"/>
        </w:rPr>
        <w:t xml:space="preserve">Entomologica Scandinavica Supplement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86.</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(2016) Armadilha de Bicho Furão Evitou Perda de US$ 1 BI. </w:t>
      </w:r>
      <w:r>
        <w:rPr>
          <w:rFonts w:ascii="Calibri" w:hAnsi="Calibri" w:eastAsia="Calibri" w:cs="Calibri"/>
          <w:i/>
          <w:iCs/>
          <w:color w:val="000000"/>
          <w:sz w:val="22"/>
          <w:szCs w:val="22"/>
        </w:rPr>
        <w:t xml:space="preserve">Citricultor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V, Arthur PB &amp; Machi AR (2016) Irradiation of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(Lepidoptera: Tortricidae) pupae in oxygen requires a lower dose to strongly reduce adult emergence and prevent reproduction than irradiation in air.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38–42.</w:t>
      </w:r>
    </w:p>
    <w:p>
      <w:pPr>
        <w:widowControl w:val="on"/>
        <w:pBdr/>
        <w:spacing w:before="220" w:after="220" w:line="240" w:lineRule="auto"/>
        <w:ind w:left="0" w:right="0"/>
        <w:jc w:val="left"/>
      </w:pPr>
      <w:r>
        <w:rPr>
          <w:rFonts w:ascii="Calibri" w:hAnsi="Calibri" w:eastAsia="Calibri" w:cs="Calibri"/>
          <w:color w:val="000000"/>
          <w:sz w:val="22"/>
          <w:szCs w:val="22"/>
        </w:rPr>
        <w:t xml:space="preserve">Batista Pereira LG (2008) Dossiê Técnico. Minador-das-Folhas-dos-Citros e Bichofurão: Pragas de Importância Econômica da Cultura do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 Retrieved from </w:t>
      </w:r>
      <w:hyperlink r:id="rId17506ac4f8eaf1d54" w:history="1">
        <w:r>
          <w:rPr>
            <w:rFonts w:ascii="Calibri" w:hAnsi="Calibri" w:eastAsia="Calibri" w:cs="Calibri"/>
            <w:color w:val="0000CC"/>
            <w:sz w:val="22"/>
            <w:szCs w:val="22"/>
            <w:u w:val="single"/>
          </w:rPr>
          <w:t xml:space="preserve">http://www.respo statecnica.org.br</w:t>
        </w:r>
      </w:hyperlink>
      <w:r>
        <w:rPr>
          <w:rFonts w:ascii="Calibri" w:hAnsi="Calibri" w:eastAsia="Calibri" w:cs="Calibri"/>
          <w:color w:val="000000"/>
          <w:sz w:val="22"/>
          <w:szCs w:val="22"/>
        </w:rPr>
        <w:t xml:space="preserve"> [accessed on 26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Bento FMM (2008) Influência da umidade em quatro tipos de solo nel desenvolvimento pupal de </w:t>
      </w:r>
      <w:r>
        <w:rPr>
          <w:rFonts w:ascii="Calibri" w:hAnsi="Calibri" w:eastAsia="Calibri" w:cs="Calibri"/>
          <w:i/>
          <w:iCs/>
          <w:color w:val="000000"/>
          <w:sz w:val="22"/>
          <w:szCs w:val="22"/>
        </w:rPr>
        <w:t xml:space="preserve">Ceratitis capitata </w:t>
      </w:r>
      <w:r>
        <w:rPr>
          <w:rFonts w:ascii="Calibri" w:hAnsi="Calibri" w:eastAsia="Calibri" w:cs="Calibri"/>
          <w:color w:val="000000"/>
          <w:sz w:val="22"/>
          <w:szCs w:val="22"/>
        </w:rPr>
        <w:t xml:space="preserve">(Wiedemann, 1824), </w:t>
      </w:r>
      <w:r>
        <w:rPr>
          <w:rFonts w:ascii="Calibri" w:hAnsi="Calibri" w:eastAsia="Calibri" w:cs="Calibri"/>
          <w:i/>
          <w:iCs/>
          <w:color w:val="000000"/>
          <w:sz w:val="22"/>
          <w:szCs w:val="22"/>
        </w:rPr>
        <w:t xml:space="preserve">Anastrepha fraterculus </w:t>
      </w:r>
      <w:r>
        <w:rPr>
          <w:rFonts w:ascii="Calibri" w:hAnsi="Calibri" w:eastAsia="Calibri" w:cs="Calibri"/>
          <w:color w:val="000000"/>
          <w:sz w:val="22"/>
          <w:szCs w:val="22"/>
        </w:rPr>
        <w:t xml:space="preserve">(Wiedemann, 1830), do parasitóide </w:t>
      </w:r>
      <w:r>
        <w:rPr>
          <w:rFonts w:ascii="Calibri" w:hAnsi="Calibri" w:eastAsia="Calibri" w:cs="Calibri"/>
          <w:i/>
          <w:iCs/>
          <w:color w:val="000000"/>
          <w:sz w:val="22"/>
          <w:szCs w:val="22"/>
        </w:rPr>
        <w:t xml:space="preserve">Diachasmimorpha longicauda </w:t>
      </w:r>
      <w:r>
        <w:rPr>
          <w:rFonts w:ascii="Calibri" w:hAnsi="Calibri" w:eastAsia="Calibri" w:cs="Calibri"/>
          <w:color w:val="000000"/>
          <w:sz w:val="22"/>
          <w:szCs w:val="22"/>
        </w:rPr>
        <w:t xml:space="preserve">(Ashmed, 1905) e de </w:t>
      </w:r>
      <w:r>
        <w:rPr>
          <w:rFonts w:ascii="Calibri" w:hAnsi="Calibri" w:eastAsia="Calibri" w:cs="Calibri"/>
          <w:i/>
          <w:iCs/>
          <w:color w:val="000000"/>
          <w:sz w:val="22"/>
          <w:szCs w:val="22"/>
        </w:rPr>
        <w:t xml:space="preserve">Gymnandrosoma aurantianum </w:t>
      </w:r>
      <w:r>
        <w:rPr>
          <w:rFonts w:ascii="Calibri" w:hAnsi="Calibri" w:eastAsia="Calibri" w:cs="Calibri"/>
          <w:color w:val="000000"/>
          <w:sz w:val="22"/>
          <w:szCs w:val="22"/>
        </w:rPr>
        <w:t xml:space="preserve">Lima, 1927. Dissertação. Universidade de São Paulo, Brasil. 79 pp.</w:t>
      </w:r>
    </w:p>
    <w:p>
      <w:pPr>
        <w:widowControl w:val="on"/>
        <w:pBdr/>
        <w:spacing w:before="220" w:after="220" w:line="240" w:lineRule="auto"/>
        <w:ind w:left="0" w:right="0"/>
        <w:jc w:val="left"/>
      </w:pPr>
      <w:r>
        <w:rPr>
          <w:rFonts w:ascii="Calibri" w:hAnsi="Calibri" w:eastAsia="Calibri" w:cs="Calibri"/>
          <w:color w:val="000000"/>
          <w:sz w:val="22"/>
          <w:szCs w:val="22"/>
        </w:rPr>
        <w:t xml:space="preserve">Bento JMS, Parra JRP, de Miranda SHG, Adami ACO, Vilela EF &amp; Leal WS (2016) How much is a pheromone worth? </w:t>
      </w:r>
      <w:r>
        <w:rPr>
          <w:rFonts w:ascii="Calibri" w:hAnsi="Calibri" w:eastAsia="Calibri" w:cs="Calibri"/>
          <w:i/>
          <w:iCs/>
          <w:color w:val="000000"/>
          <w:sz w:val="22"/>
          <w:szCs w:val="22"/>
        </w:rPr>
        <w:t xml:space="preserve">F1000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Bento JMS, Parra JRP, Yamamoto PT &amp; Vilela EF (2001) Sexual behavior and diel activity of citrus fruit borer.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2053–2065.</w:t>
      </w:r>
    </w:p>
    <w:p>
      <w:pPr>
        <w:widowControl w:val="on"/>
        <w:pBdr/>
        <w:spacing w:before="220" w:after="220" w:line="240" w:lineRule="auto"/>
        <w:ind w:left="0" w:right="0"/>
        <w:jc w:val="left"/>
      </w:pPr>
      <w:r>
        <w:rPr>
          <w:rFonts w:ascii="Calibri" w:hAnsi="Calibri" w:eastAsia="Calibri" w:cs="Calibri"/>
          <w:color w:val="000000"/>
          <w:sz w:val="22"/>
          <w:szCs w:val="22"/>
        </w:rPr>
        <w:t xml:space="preserve">Bento JMS, Parra JRP, Yamamoto PT &amp; Vilela EF (2004) Feromônio sexual no manejo do bicho-furão-dos-citros. </w:t>
      </w:r>
      <w:r>
        <w:rPr>
          <w:rFonts w:ascii="Calibri" w:hAnsi="Calibri" w:eastAsia="Calibri" w:cs="Calibri"/>
          <w:i/>
          <w:iCs/>
          <w:color w:val="000000"/>
          <w:sz w:val="22"/>
          <w:szCs w:val="22"/>
        </w:rPr>
        <w:t xml:space="preserve">Visão Agrícola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68–71.</w:t>
      </w:r>
    </w:p>
    <w:p>
      <w:pPr>
        <w:widowControl w:val="on"/>
        <w:pBdr/>
        <w:spacing w:before="220" w:after="220" w:line="240" w:lineRule="auto"/>
        <w:ind w:left="0" w:right="0"/>
        <w:jc w:val="left"/>
      </w:pPr>
      <w:r>
        <w:rPr>
          <w:rFonts w:ascii="Calibri" w:hAnsi="Calibri" w:eastAsia="Calibri" w:cs="Calibri"/>
          <w:color w:val="000000"/>
          <w:sz w:val="22"/>
          <w:szCs w:val="22"/>
        </w:rPr>
        <w:t xml:space="preserve">Blanco-Metzler H (1994) The biology and ecology of the macadamia nutborer </w:t>
      </w:r>
      <w:r>
        <w:rPr>
          <w:rFonts w:ascii="Calibri" w:hAnsi="Calibri" w:eastAsia="Calibri" w:cs="Calibri"/>
          <w:i/>
          <w:iCs/>
          <w:color w:val="000000"/>
          <w:sz w:val="22"/>
          <w:szCs w:val="22"/>
        </w:rPr>
        <w:t xml:space="preserve">Ecdytolopha torticornis </w:t>
      </w:r>
      <w:r>
        <w:rPr>
          <w:rFonts w:ascii="Calibri" w:hAnsi="Calibri" w:eastAsia="Calibri" w:cs="Calibri"/>
          <w:color w:val="000000"/>
          <w:sz w:val="22"/>
          <w:szCs w:val="22"/>
        </w:rPr>
        <w:t xml:space="preserve">in Costa Rica. Thesis. University of Edinburgh (UK).</w:t>
      </w:r>
    </w:p>
    <w:p>
      <w:pPr>
        <w:widowControl w:val="on"/>
        <w:pBdr/>
        <w:spacing w:before="220" w:after="220" w:line="240" w:lineRule="auto"/>
        <w:ind w:left="0" w:right="0"/>
        <w:jc w:val="left"/>
      </w:pPr>
      <w:r>
        <w:rPr>
          <w:rFonts w:ascii="Calibri" w:hAnsi="Calibri" w:eastAsia="Calibri" w:cs="Calibri"/>
          <w:color w:val="000000"/>
          <w:sz w:val="22"/>
          <w:szCs w:val="22"/>
        </w:rPr>
        <w:t xml:space="preserve">Blanco-Metzler H, Villalobos R, Wat AD &amp; Cosens D (1997) Efecto del Manejo de las Malezas en Macadamia sobre la Población del Barrenador de la Nuez </w:t>
      </w:r>
      <w:r>
        <w:rPr>
          <w:rFonts w:ascii="Calibri" w:hAnsi="Calibri" w:eastAsia="Calibri" w:cs="Calibri"/>
          <w:i/>
          <w:iCs/>
          <w:color w:val="000000"/>
          <w:sz w:val="22"/>
          <w:szCs w:val="22"/>
        </w:rPr>
        <w:t xml:space="preserve">Ecdytolopha Torticornis </w:t>
      </w:r>
      <w:r>
        <w:rPr>
          <w:rFonts w:ascii="Calibri" w:hAnsi="Calibri" w:eastAsia="Calibri" w:cs="Calibri"/>
          <w:color w:val="000000"/>
          <w:sz w:val="22"/>
          <w:szCs w:val="22"/>
        </w:rPr>
        <w:t xml:space="preserve">Meyrick (Lep: Tortricidae). </w:t>
      </w:r>
      <w:r>
        <w:rPr>
          <w:rFonts w:ascii="Calibri" w:hAnsi="Calibri" w:eastAsia="Calibri" w:cs="Calibri"/>
          <w:i/>
          <w:iCs/>
          <w:color w:val="000000"/>
          <w:sz w:val="22"/>
          <w:szCs w:val="22"/>
        </w:rPr>
        <w:t xml:space="preserve">Agronomía Mesoamericana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96–100.</w:t>
      </w:r>
    </w:p>
    <w:p>
      <w:pPr>
        <w:widowControl w:val="on"/>
        <w:pBdr/>
        <w:spacing w:before="220" w:after="220" w:line="240" w:lineRule="auto"/>
        <w:ind w:left="0" w:right="0"/>
        <w:jc w:val="left"/>
      </w:pPr>
      <w:r>
        <w:rPr>
          <w:rFonts w:ascii="Calibri" w:hAnsi="Calibri" w:eastAsia="Calibri" w:cs="Calibri"/>
          <w:color w:val="000000"/>
          <w:sz w:val="22"/>
          <w:szCs w:val="22"/>
        </w:rPr>
        <w:t xml:space="preserve">Blanco-Metzler H, Watt A &amp; Cosens D (1993) Ciclo de vida y comportamiento de oviposición de </w:t>
      </w:r>
      <w:r>
        <w:rPr>
          <w:rFonts w:ascii="Calibri" w:hAnsi="Calibri" w:eastAsia="Calibri" w:cs="Calibri"/>
          <w:i/>
          <w:iCs/>
          <w:color w:val="000000"/>
          <w:sz w:val="22"/>
          <w:szCs w:val="22"/>
        </w:rPr>
        <w:t xml:space="preserve">Ecdytolopha torticornis </w:t>
      </w:r>
      <w:r>
        <w:rPr>
          <w:rFonts w:ascii="Calibri" w:hAnsi="Calibri" w:eastAsia="Calibri" w:cs="Calibri"/>
          <w:color w:val="000000"/>
          <w:sz w:val="22"/>
          <w:szCs w:val="22"/>
        </w:rPr>
        <w:t xml:space="preserve">(Lepidoptera: Tortricidae) barrenador de la nuez de macadamia. </w:t>
      </w:r>
      <w:r>
        <w:rPr>
          <w:rFonts w:ascii="Calibri" w:hAnsi="Calibri" w:eastAsia="Calibri" w:cs="Calibri"/>
          <w:i/>
          <w:iCs/>
          <w:color w:val="000000"/>
          <w:sz w:val="22"/>
          <w:szCs w:val="22"/>
        </w:rPr>
        <w:t xml:space="preserve">Manejo Integrado De Plagas (Costa Rica)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36–39.</w:t>
      </w:r>
    </w:p>
    <w:p>
      <w:pPr>
        <w:widowControl w:val="on"/>
        <w:pBdr/>
        <w:spacing w:before="220" w:after="220" w:line="240" w:lineRule="auto"/>
        <w:ind w:left="0" w:right="0"/>
        <w:jc w:val="left"/>
      </w:pPr>
      <w:r>
        <w:rPr>
          <w:rFonts w:ascii="Calibri" w:hAnsi="Calibri" w:eastAsia="Calibri" w:cs="Calibri"/>
          <w:color w:val="000000"/>
          <w:sz w:val="22"/>
          <w:szCs w:val="22"/>
        </w:rPr>
        <w:t xml:space="preserve">Blanco-Metzler H, Watt A &amp; Cosens D (2007) The effect of predators on the abundance of the macadamia Nutborer (‘</w:t>
      </w:r>
      <w:r>
        <w:rPr>
          <w:rFonts w:ascii="Calibri" w:hAnsi="Calibri" w:eastAsia="Calibri" w:cs="Calibri"/>
          <w:i/>
          <w:iCs/>
          <w:color w:val="000000"/>
          <w:sz w:val="22"/>
          <w:szCs w:val="22"/>
        </w:rPr>
        <w:t xml:space="preserve">Ecdytolopha torticornis’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Agronomía Costarricense: Revista De Ciencias Agrícolas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33–39.</w:t>
      </w:r>
    </w:p>
    <w:p>
      <w:pPr>
        <w:widowControl w:val="on"/>
        <w:pBdr/>
        <w:spacing w:before="220" w:after="220" w:line="240" w:lineRule="auto"/>
        <w:ind w:left="0" w:right="0"/>
        <w:jc w:val="left"/>
      </w:pPr>
      <w:r>
        <w:rPr>
          <w:rFonts w:ascii="Calibri" w:hAnsi="Calibri" w:eastAsia="Calibri" w:cs="Calibri"/>
          <w:color w:val="000000"/>
          <w:sz w:val="22"/>
          <w:szCs w:val="22"/>
        </w:rPr>
        <w:t xml:space="preserve">Blanco-Metzler H, Watt AD &amp; Cosens D (2009) The effect of parasitism on the population dynamics of the macadamia nutborer </w:t>
      </w:r>
      <w:r>
        <w:rPr>
          <w:rFonts w:ascii="Calibri" w:hAnsi="Calibri" w:eastAsia="Calibri" w:cs="Calibri"/>
          <w:i/>
          <w:iCs/>
          <w:color w:val="000000"/>
          <w:sz w:val="22"/>
          <w:szCs w:val="22"/>
        </w:rPr>
        <w:t xml:space="preserve">Gymnandrosoma aurantianum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Revista De Biologia Tropical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1245–1252.</w:t>
      </w:r>
    </w:p>
    <w:p>
      <w:pPr>
        <w:widowControl w:val="on"/>
        <w:pBdr/>
        <w:spacing w:before="220" w:after="220" w:line="240" w:lineRule="auto"/>
        <w:ind w:left="0" w:right="0"/>
        <w:jc w:val="left"/>
      </w:pPr>
      <w:r>
        <w:rPr>
          <w:rFonts w:ascii="Calibri" w:hAnsi="Calibri" w:eastAsia="Calibri" w:cs="Calibri"/>
          <w:color w:val="000000"/>
          <w:sz w:val="22"/>
          <w:szCs w:val="22"/>
        </w:rPr>
        <w:t xml:space="preserve">Briceño RAG &amp; Sharkey MJ (2000) </w:t>
      </w:r>
      <w:r>
        <w:rPr>
          <w:rFonts w:ascii="Calibri" w:hAnsi="Calibri" w:eastAsia="Calibri" w:cs="Calibri"/>
          <w:i/>
          <w:iCs/>
          <w:color w:val="000000"/>
          <w:sz w:val="22"/>
          <w:szCs w:val="22"/>
        </w:rPr>
        <w:t xml:space="preserve">Bassus macadamiae </w:t>
      </w:r>
      <w:r>
        <w:rPr>
          <w:rFonts w:ascii="Calibri" w:hAnsi="Calibri" w:eastAsia="Calibri" w:cs="Calibri"/>
          <w:color w:val="000000"/>
          <w:sz w:val="22"/>
          <w:szCs w:val="22"/>
        </w:rPr>
        <w:t xml:space="preserve">sp. n. (Hymenoptera: Braconidae: Agathidinae), Parasitoid of </w:t>
      </w:r>
      <w:r>
        <w:rPr>
          <w:rFonts w:ascii="Calibri" w:hAnsi="Calibri" w:eastAsia="Calibri" w:cs="Calibri"/>
          <w:i/>
          <w:iCs/>
          <w:color w:val="000000"/>
          <w:sz w:val="22"/>
          <w:szCs w:val="22"/>
        </w:rPr>
        <w:t xml:space="preserve">Ecdytolopha torticornis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aurantianum </w:t>
      </w:r>
      <w:r>
        <w:rPr>
          <w:rFonts w:ascii="Calibri" w:hAnsi="Calibri" w:eastAsia="Calibri" w:cs="Calibri"/>
          <w:color w:val="000000"/>
          <w:sz w:val="22"/>
          <w:szCs w:val="22"/>
        </w:rPr>
        <w:t xml:space="preserve">(Lepidoptera: Tortricidae) in Macadamia Nut Crops in Central and South America. </w:t>
      </w:r>
      <w:r>
        <w:rPr>
          <w:rFonts w:ascii="Calibri" w:hAnsi="Calibri" w:eastAsia="Calibri" w:cs="Calibri"/>
          <w:i/>
          <w:iCs/>
          <w:color w:val="000000"/>
          <w:sz w:val="22"/>
          <w:szCs w:val="22"/>
        </w:rPr>
        <w:t xml:space="preserve">Journal of Hymenoptera Research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99–103.</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(2011) Tools for Identifying the Larvae of Leafrollers (Lepidoptera: Tortricidae) frequently Intercepted at U.S. Ports of Entry Systematic Entomology Laboratory, PSI, Agricultural Research Service, U.S. Department of Agriculture c/o National Museum of Natural History, Washington, D.C. Draft, September 2011. 19 pp. </w:t>
      </w:r>
      <w:hyperlink r:id="rId88746ac4f8eaf2224" w:history="1">
        <w:r>
          <w:rPr>
            <w:rFonts w:ascii="Calibri" w:hAnsi="Calibri" w:eastAsia="Calibri" w:cs="Calibri"/>
            <w:color w:val="0000CC"/>
            <w:sz w:val="22"/>
            <w:szCs w:val="22"/>
            <w:u w:val="single"/>
          </w:rPr>
          <w:t xml:space="preserve">http://idtoo ls.org/</w:t>
        </w:r>
      </w:hyperlink>
      <w:r>
        <w:rPr>
          <w:rFonts w:ascii="Calibri" w:hAnsi="Calibri" w:eastAsia="Calibri" w:cs="Calibri"/>
          <w:color w:val="000000"/>
          <w:sz w:val="22"/>
          <w:szCs w:val="22"/>
        </w:rPr>
        <w:t xml:space="preserve"> [accessed 26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Cabrera-Asencio I, Vélez A, Henríquez S &amp; Santiago-Blay J (2013) </w:t>
      </w:r>
      <w:r>
        <w:rPr>
          <w:rFonts w:ascii="Calibri" w:hAnsi="Calibri" w:eastAsia="Calibri" w:cs="Calibri"/>
          <w:i/>
          <w:iCs/>
          <w:color w:val="000000"/>
          <w:sz w:val="22"/>
          <w:szCs w:val="22"/>
        </w:rPr>
        <w:t xml:space="preserve">Melicoccus bijugatus </w:t>
      </w:r>
      <w:r>
        <w:rPr>
          <w:rFonts w:ascii="Calibri" w:hAnsi="Calibri" w:eastAsia="Calibri" w:cs="Calibri"/>
          <w:color w:val="000000"/>
          <w:sz w:val="22"/>
          <w:szCs w:val="22"/>
        </w:rPr>
        <w:t xml:space="preserve">Jacquin (Sapindaceae), quenepa: A new host plant record for the Citrus Fruit Borer, </w:t>
      </w:r>
      <w:r>
        <w:rPr>
          <w:rFonts w:ascii="Calibri" w:hAnsi="Calibri" w:eastAsia="Calibri" w:cs="Calibri"/>
          <w:i/>
          <w:iCs/>
          <w:color w:val="000000"/>
          <w:sz w:val="22"/>
          <w:szCs w:val="22"/>
        </w:rPr>
        <w:t xml:space="preserve">Gymnandrosoma aurantianum </w:t>
      </w:r>
      <w:r>
        <w:rPr>
          <w:rFonts w:ascii="Calibri" w:hAnsi="Calibri" w:eastAsia="Calibri" w:cs="Calibri"/>
          <w:color w:val="000000"/>
          <w:sz w:val="22"/>
          <w:szCs w:val="22"/>
        </w:rPr>
        <w:t xml:space="preserve">Lima, 1927 (Lepidoptera: Tortricidae) and the genus </w:t>
      </w:r>
      <w:r>
        <w:rPr>
          <w:rFonts w:ascii="Calibri" w:hAnsi="Calibri" w:eastAsia="Calibri" w:cs="Calibri"/>
          <w:i/>
          <w:iCs/>
          <w:color w:val="000000"/>
          <w:sz w:val="22"/>
          <w:szCs w:val="22"/>
        </w:rPr>
        <w:t xml:space="preserve">Gymnandrosoma </w:t>
      </w:r>
      <w:r>
        <w:rPr>
          <w:rFonts w:ascii="Calibri" w:hAnsi="Calibri" w:eastAsia="Calibri" w:cs="Calibri"/>
          <w:color w:val="000000"/>
          <w:sz w:val="22"/>
          <w:szCs w:val="22"/>
        </w:rPr>
        <w:t xml:space="preserve">in Puerto Rico. </w:t>
      </w:r>
      <w:r>
        <w:rPr>
          <w:rFonts w:ascii="Calibri" w:hAnsi="Calibri" w:eastAsia="Calibri" w:cs="Calibri"/>
          <w:i/>
          <w:iCs/>
          <w:color w:val="000000"/>
          <w:sz w:val="22"/>
          <w:szCs w:val="22"/>
        </w:rPr>
        <w:t xml:space="preserve">Life: The Excitement of Biology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3–16.</w:t>
      </w:r>
    </w:p>
    <w:p>
      <w:pPr>
        <w:widowControl w:val="on"/>
        <w:pBdr/>
        <w:spacing w:before="220" w:after="220" w:line="240" w:lineRule="auto"/>
        <w:ind w:left="0" w:right="0"/>
        <w:jc w:val="left"/>
      </w:pPr>
      <w:r>
        <w:rPr>
          <w:rFonts w:ascii="Calibri" w:hAnsi="Calibri" w:eastAsia="Calibri" w:cs="Calibri"/>
          <w:color w:val="000000"/>
          <w:sz w:val="22"/>
          <w:szCs w:val="22"/>
        </w:rPr>
        <w:t xml:space="preserve">COSAVE-IICA (1999) XXI reunión del grupo de trabajo permanente en cuarentena vegetal. Foz do Iguaçu, Brasil 03-07 de mayo de 1999. 23 pp.</w:t>
      </w:r>
    </w:p>
    <w:p>
      <w:pPr>
        <w:widowControl w:val="on"/>
        <w:pBdr/>
        <w:spacing w:before="220" w:after="220" w:line="240" w:lineRule="auto"/>
        <w:ind w:left="0" w:right="0"/>
        <w:jc w:val="left"/>
      </w:pPr>
      <w:r>
        <w:rPr>
          <w:rFonts w:ascii="Calibri" w:hAnsi="Calibri" w:eastAsia="Calibri" w:cs="Calibri"/>
          <w:color w:val="000000"/>
          <w:sz w:val="22"/>
          <w:szCs w:val="22"/>
        </w:rPr>
        <w:t xml:space="preserve">Delgado Puchi N (2005) Caracterización morfológica de los Sesiidae (Insecta: Lepidoptera) perforadores del fruto del cacao (</w:t>
      </w:r>
      <w:r>
        <w:rPr>
          <w:rFonts w:ascii="Calibri" w:hAnsi="Calibri" w:eastAsia="Calibri" w:cs="Calibri"/>
          <w:i/>
          <w:iCs/>
          <w:color w:val="000000"/>
          <w:sz w:val="22"/>
          <w:szCs w:val="22"/>
        </w:rPr>
        <w:t xml:space="preserve">Theobroma cacao </w:t>
      </w:r>
      <w:r>
        <w:rPr>
          <w:rFonts w:ascii="Calibri" w:hAnsi="Calibri" w:eastAsia="Calibri" w:cs="Calibri"/>
          <w:color w:val="000000"/>
          <w:sz w:val="22"/>
          <w:szCs w:val="22"/>
        </w:rPr>
        <w:t xml:space="preserve">L.), presentes en la región costera del estado Aragua. </w:t>
      </w:r>
      <w:r>
        <w:rPr>
          <w:rFonts w:ascii="Calibri" w:hAnsi="Calibri" w:eastAsia="Calibri" w:cs="Calibri"/>
          <w:i/>
          <w:iCs/>
          <w:color w:val="000000"/>
          <w:sz w:val="22"/>
          <w:szCs w:val="22"/>
        </w:rPr>
        <w:t xml:space="preserve">Venezuela. Entomotropica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97–111.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w:t>
      </w:r>
      <w:r>
        <w:rPr>
          <w:rFonts w:ascii="Calibri" w:hAnsi="Calibri" w:eastAsia="Calibri" w:cs="Calibri"/>
          <w:i/>
          <w:iCs/>
          <w:color w:val="000000"/>
          <w:sz w:val="22"/>
          <w:szCs w:val="22"/>
        </w:rPr>
        <w:t xml:space="preserve">Gymnandrosoma aurantianum </w:t>
      </w:r>
      <w:r>
        <w:rPr>
          <w:rFonts w:ascii="Calibri" w:hAnsi="Calibri" w:eastAsia="Calibri" w:cs="Calibri"/>
          <w:color w:val="000000"/>
          <w:sz w:val="22"/>
          <w:szCs w:val="22"/>
        </w:rPr>
        <w:t xml:space="preserve">(Lepidoptera: Tortricidae), citrus fruit borer, macadamia fruit borer. Document 20-25860. </w:t>
      </w:r>
      <w:hyperlink r:id="rId29356ac4f8eaf23ee"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on 26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Fundecitrus (2007) </w:t>
      </w:r>
      <w:r>
        <w:rPr>
          <w:rFonts w:ascii="Calibri" w:hAnsi="Calibri" w:eastAsia="Calibri" w:cs="Calibri"/>
          <w:i/>
          <w:iCs/>
          <w:color w:val="000000"/>
          <w:sz w:val="22"/>
          <w:szCs w:val="22"/>
        </w:rPr>
        <w:t xml:space="preserve">Manual técnico do Bicho Furão</w:t>
      </w:r>
      <w:r>
        <w:rPr>
          <w:rFonts w:ascii="Calibri" w:hAnsi="Calibri" w:eastAsia="Calibri" w:cs="Calibri"/>
          <w:color w:val="000000"/>
          <w:sz w:val="22"/>
          <w:szCs w:val="22"/>
        </w:rPr>
        <w:t xml:space="preserve">. Funde de Defesa da Citricultura, Brasil.</w:t>
      </w:r>
    </w:p>
    <w:p>
      <w:pPr>
        <w:widowControl w:val="on"/>
        <w:pBdr/>
        <w:spacing w:before="220" w:after="220" w:line="240" w:lineRule="auto"/>
        <w:ind w:left="0" w:right="0"/>
        <w:jc w:val="left"/>
      </w:pPr>
      <w:r>
        <w:rPr>
          <w:rFonts w:ascii="Calibri" w:hAnsi="Calibri" w:eastAsia="Calibri" w:cs="Calibri"/>
          <w:color w:val="000000"/>
          <w:sz w:val="22"/>
          <w:szCs w:val="22"/>
        </w:rPr>
        <w:t xml:space="preserve">Fundecitrus (2019) Bicho Furao. Funde de Defesa da Citricultura, Brasil. </w:t>
      </w:r>
      <w:hyperlink r:id="rId38476ac4f8eaf246f" w:history="1">
        <w:r>
          <w:rPr>
            <w:rFonts w:ascii="Calibri" w:hAnsi="Calibri" w:eastAsia="Calibri" w:cs="Calibri"/>
            <w:color w:val="0000CC"/>
            <w:sz w:val="22"/>
            <w:szCs w:val="22"/>
            <w:u w:val="single"/>
          </w:rPr>
          <w:t xml:space="preserve">https://www.funde citrus.com.br/doenc as/bicho -furao</w:t>
        </w:r>
      </w:hyperlink>
      <w:r>
        <w:rPr>
          <w:rFonts w:ascii="Calibri" w:hAnsi="Calibri" w:eastAsia="Calibri" w:cs="Calibri"/>
          <w:color w:val="000000"/>
          <w:sz w:val="22"/>
          <w:szCs w:val="22"/>
        </w:rPr>
        <w:t xml:space="preserve"> [accessed on 26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CV (2005) Reconocimiento fitosanitario en cinco variedades cultivadas de macadamia (</w:t>
      </w:r>
      <w:r>
        <w:rPr>
          <w:rFonts w:ascii="Calibri" w:hAnsi="Calibri" w:eastAsia="Calibri" w:cs="Calibri"/>
          <w:i/>
          <w:iCs/>
          <w:color w:val="000000"/>
          <w:sz w:val="22"/>
          <w:szCs w:val="22"/>
        </w:rPr>
        <w:t xml:space="preserve">Macadamia integrifolia </w:t>
      </w:r>
      <w:r>
        <w:rPr>
          <w:rFonts w:ascii="Calibri" w:hAnsi="Calibri" w:eastAsia="Calibri" w:cs="Calibri"/>
          <w:color w:val="000000"/>
          <w:sz w:val="22"/>
          <w:szCs w:val="22"/>
        </w:rPr>
        <w:t xml:space="preserve">Maiden et Betche) en la zona cafetera colombiana. </w:t>
      </w:r>
      <w:r>
        <w:rPr>
          <w:rFonts w:ascii="Calibri" w:hAnsi="Calibri" w:eastAsia="Calibri" w:cs="Calibri"/>
          <w:i/>
          <w:iCs/>
          <w:color w:val="000000"/>
          <w:sz w:val="22"/>
          <w:szCs w:val="22"/>
        </w:rPr>
        <w:t xml:space="preserve">Manejo Integrado de Plagas y Agroecología (Costa Rica)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69–76.</w:t>
      </w:r>
    </w:p>
    <w:p>
      <w:pPr>
        <w:widowControl w:val="on"/>
        <w:pBdr/>
        <w:spacing w:before="220" w:after="220" w:line="240" w:lineRule="auto"/>
        <w:ind w:left="0" w:right="0"/>
        <w:jc w:val="left"/>
      </w:pPr>
      <w:r>
        <w:rPr>
          <w:rFonts w:ascii="Calibri" w:hAnsi="Calibri" w:eastAsia="Calibri" w:cs="Calibri"/>
          <w:color w:val="000000"/>
          <w:sz w:val="22"/>
          <w:szCs w:val="22"/>
        </w:rPr>
        <w:t xml:space="preserve">Garcia MS (1998) Bioecologia e potencial de controle biológico de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(Lima, 1927) (Lepidoptera: Tortricidae), o bicho-furão-dos-citros, através de </w:t>
      </w:r>
      <w:r>
        <w:rPr>
          <w:rFonts w:ascii="Calibri" w:hAnsi="Calibri" w:eastAsia="Calibri" w:cs="Calibri"/>
          <w:i/>
          <w:iCs/>
          <w:color w:val="000000"/>
          <w:sz w:val="22"/>
          <w:szCs w:val="22"/>
        </w:rPr>
        <w:t xml:space="preserve">Trichogramma pretiosum </w:t>
      </w:r>
      <w:r>
        <w:rPr>
          <w:rFonts w:ascii="Calibri" w:hAnsi="Calibri" w:eastAsia="Calibri" w:cs="Calibri"/>
          <w:color w:val="000000"/>
          <w:sz w:val="22"/>
          <w:szCs w:val="22"/>
        </w:rPr>
        <w:t xml:space="preserve">Riley, 1879. Tese de Doutorado, Escola Superior de Agricultura ‘Luiz de Queiroz’, USP, Piracicaba, Brasil. 118 pp.</w:t>
      </w:r>
    </w:p>
    <w:p>
      <w:pPr>
        <w:widowControl w:val="on"/>
        <w:pBdr/>
        <w:spacing w:before="220" w:after="220" w:line="240" w:lineRule="auto"/>
        <w:ind w:left="0" w:right="0"/>
        <w:jc w:val="left"/>
      </w:pPr>
      <w:r>
        <w:rPr>
          <w:rFonts w:ascii="Calibri" w:hAnsi="Calibri" w:eastAsia="Calibri" w:cs="Calibri"/>
          <w:color w:val="000000"/>
          <w:sz w:val="22"/>
          <w:szCs w:val="22"/>
        </w:rPr>
        <w:t xml:space="preserve">Garcia MS &amp; Parra JRP (1999) Comparação de dietas artificiais, com fontes protéicas variáveis, para criação de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(Lima) (Lepidoptera: Tortricidae). </w:t>
      </w:r>
      <w:r>
        <w:rPr>
          <w:rFonts w:ascii="Calibri" w:hAnsi="Calibri" w:eastAsia="Calibri" w:cs="Calibri"/>
          <w:i/>
          <w:iCs/>
          <w:color w:val="000000"/>
          <w:sz w:val="22"/>
          <w:szCs w:val="22"/>
        </w:rPr>
        <w:t xml:space="preserve">Anais da Sociedade Entomológica do Brasil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219–232.</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Epstein ME (2014) </w:t>
      </w:r>
      <w:r>
        <w:rPr>
          <w:rFonts w:ascii="Calibri" w:hAnsi="Calibri" w:eastAsia="Calibri" w:cs="Calibri"/>
          <w:i/>
          <w:iCs/>
          <w:color w:val="000000"/>
          <w:sz w:val="22"/>
          <w:szCs w:val="22"/>
        </w:rPr>
        <w:t xml:space="preserve">Gymnandrosoma aurantianum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Tortricids of Agricultural Importance by Todd M. Gilligan and Marc E. Epstein</w:t>
      </w:r>
      <w:r>
        <w:rPr>
          <w:rFonts w:ascii="Calibri" w:hAnsi="Calibri" w:eastAsia="Calibri" w:cs="Calibri"/>
          <w:color w:val="000000"/>
          <w:sz w:val="22"/>
          <w:szCs w:val="22"/>
        </w:rPr>
        <w:t xml:space="preserve">. Interactive Keys developed in Lucid 3.5. Last updated August 2014. </w:t>
      </w:r>
      <w:hyperlink r:id="rId62596ac4f8eaf2640" w:history="1">
        <w:r>
          <w:rPr>
            <w:rFonts w:ascii="Calibri" w:hAnsi="Calibri" w:eastAsia="Calibri" w:cs="Calibri"/>
            <w:color w:val="0000CC"/>
            <w:sz w:val="22"/>
            <w:szCs w:val="22"/>
            <w:u w:val="single"/>
          </w:rPr>
          <w:t xml:space="preserve">http://idtools.org/id/leps/tortai/</w:t>
        </w:r>
      </w:hyperlink>
      <w:r>
        <w:rPr>
          <w:rFonts w:ascii="Calibri" w:hAnsi="Calibri" w:eastAsia="Calibri" w:cs="Calibri"/>
          <w:color w:val="000000"/>
          <w:sz w:val="22"/>
          <w:szCs w:val="22"/>
        </w:rPr>
        <w:t xml:space="preserve"> [accessed on 26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Gomez Orellana RE, Hernandez Lovato L &amp; Jeorge Ferman RE (2008) Insectos asociados al nance (</w:t>
      </w:r>
      <w:r>
        <w:rPr>
          <w:rFonts w:ascii="Calibri" w:hAnsi="Calibri" w:eastAsia="Calibri" w:cs="Calibri"/>
          <w:i/>
          <w:iCs/>
          <w:color w:val="000000"/>
          <w:sz w:val="22"/>
          <w:szCs w:val="22"/>
        </w:rPr>
        <w:t xml:space="preserve">Byrsonima crassifolia </w:t>
      </w:r>
      <w:r>
        <w:rPr>
          <w:rFonts w:ascii="Calibri" w:hAnsi="Calibri" w:eastAsia="Calibri" w:cs="Calibri"/>
          <w:color w:val="000000"/>
          <w:sz w:val="22"/>
          <w:szCs w:val="22"/>
        </w:rPr>
        <w:t xml:space="preserve">L.) en los municipios de La Palma, departamento de Chalatenango y Quezaltepeque, departamento de La Libertad, El Salvador. Tesis. Universidad de El Salvador. 78 pp.</w:t>
      </w:r>
    </w:p>
    <w:p>
      <w:pPr>
        <w:widowControl w:val="on"/>
        <w:pBdr/>
        <w:spacing w:before="220" w:after="220" w:line="240" w:lineRule="auto"/>
        <w:ind w:left="0" w:right="0"/>
        <w:jc w:val="left"/>
      </w:pPr>
      <w:r>
        <w:rPr>
          <w:rFonts w:ascii="Calibri" w:hAnsi="Calibri" w:eastAsia="Calibri" w:cs="Calibri"/>
          <w:color w:val="000000"/>
          <w:sz w:val="22"/>
          <w:szCs w:val="22"/>
        </w:rPr>
        <w:t xml:space="preserve">Gómez Torres ML (2005) </w:t>
      </w:r>
      <w:r>
        <w:rPr>
          <w:rFonts w:ascii="Calibri" w:hAnsi="Calibri" w:eastAsia="Calibri" w:cs="Calibri"/>
          <w:i/>
          <w:iCs/>
          <w:color w:val="000000"/>
          <w:sz w:val="22"/>
          <w:szCs w:val="22"/>
        </w:rPr>
        <w:t xml:space="preserve">Controle Biológico de </w:t>
      </w:r>
      <w:r>
        <w:rPr>
          <w:rFonts w:ascii="Calibri" w:hAnsi="Calibri" w:eastAsia="Calibri" w:cs="Calibri"/>
          <w:color w:val="000000"/>
          <w:sz w:val="22"/>
          <w:szCs w:val="22"/>
        </w:rPr>
        <w:t xml:space="preserve">Ecdytolopha aurantiana </w:t>
      </w:r>
      <w:r>
        <w:rPr>
          <w:rFonts w:ascii="Calibri" w:hAnsi="Calibri" w:eastAsia="Calibri" w:cs="Calibri"/>
          <w:i/>
          <w:iCs/>
          <w:color w:val="000000"/>
          <w:sz w:val="22"/>
          <w:szCs w:val="22"/>
        </w:rPr>
        <w:t xml:space="preserve">(Lima, 1927) (Lepidoptera : Tortricidae) com </w:t>
      </w:r>
      <w:r>
        <w:rPr>
          <w:rFonts w:ascii="Calibri" w:hAnsi="Calibri" w:eastAsia="Calibri" w:cs="Calibri"/>
          <w:color w:val="000000"/>
          <w:sz w:val="22"/>
          <w:szCs w:val="22"/>
        </w:rPr>
        <w:t xml:space="preserve">Trichogramma atopovirilia </w:t>
      </w:r>
      <w:r>
        <w:rPr>
          <w:rFonts w:ascii="Calibri" w:hAnsi="Calibri" w:eastAsia="Calibri" w:cs="Calibri"/>
          <w:i/>
          <w:iCs/>
          <w:color w:val="000000"/>
          <w:sz w:val="22"/>
          <w:szCs w:val="22"/>
        </w:rPr>
        <w:t xml:space="preserve">Oatman &amp; Platner, 1983</w:t>
      </w:r>
      <w:r>
        <w:rPr>
          <w:rFonts w:ascii="Calibri" w:hAnsi="Calibri" w:eastAsia="Calibri" w:cs="Calibri"/>
          <w:color w:val="000000"/>
          <w:sz w:val="22"/>
          <w:szCs w:val="22"/>
        </w:rPr>
        <w:t xml:space="preserve">. Dissertação. Universidade de São Paulo, Brasil. 127 pp.</w:t>
      </w:r>
    </w:p>
    <w:p>
      <w:pPr>
        <w:widowControl w:val="on"/>
        <w:pBdr/>
        <w:spacing w:before="220" w:after="220" w:line="240" w:lineRule="auto"/>
        <w:ind w:left="0" w:right="0"/>
        <w:jc w:val="left"/>
      </w:pPr>
      <w:r>
        <w:rPr>
          <w:rFonts w:ascii="Calibri" w:hAnsi="Calibri" w:eastAsia="Calibri" w:cs="Calibri"/>
          <w:color w:val="000000"/>
          <w:sz w:val="22"/>
          <w:szCs w:val="22"/>
        </w:rPr>
        <w:t xml:space="preserve">Leal WS, Bento JMS, Murata Y, Ono M, Parra JRP &amp; Vilela EF (2001) Identification, synthesis, and field evaluation of the sex pheromone of the citrus fruit borer </w:t>
      </w:r>
      <w:r>
        <w:rPr>
          <w:rFonts w:ascii="Calibri" w:hAnsi="Calibri" w:eastAsia="Calibri" w:cs="Calibri"/>
          <w:i/>
          <w:iCs/>
          <w:color w:val="000000"/>
          <w:sz w:val="22"/>
          <w:szCs w:val="22"/>
        </w:rPr>
        <w:t xml:space="preserve">Ecdytolopha aurantiana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2041–2051.</w:t>
      </w:r>
    </w:p>
    <w:p>
      <w:pPr>
        <w:widowControl w:val="on"/>
        <w:pBdr/>
        <w:spacing w:before="220" w:after="220" w:line="240" w:lineRule="auto"/>
        <w:ind w:left="0" w:right="0"/>
        <w:jc w:val="left"/>
      </w:pPr>
      <w:r>
        <w:rPr>
          <w:rFonts w:ascii="Calibri" w:hAnsi="Calibri" w:eastAsia="Calibri" w:cs="Calibri"/>
          <w:color w:val="000000"/>
          <w:sz w:val="22"/>
          <w:szCs w:val="22"/>
        </w:rPr>
        <w:t xml:space="preserve">Leandro HHC (2012) Identificación y estudio de la biología de </w:t>
      </w:r>
      <w:r>
        <w:rPr>
          <w:rFonts w:ascii="Calibri" w:hAnsi="Calibri" w:eastAsia="Calibri" w:cs="Calibri"/>
          <w:i/>
          <w:iCs/>
          <w:color w:val="000000"/>
          <w:sz w:val="22"/>
          <w:szCs w:val="22"/>
        </w:rPr>
        <w:t xml:space="preserve">Gymnandrosoma aurantianum </w:t>
      </w:r>
      <w:r>
        <w:rPr>
          <w:rFonts w:ascii="Calibri" w:hAnsi="Calibri" w:eastAsia="Calibri" w:cs="Calibri"/>
          <w:color w:val="000000"/>
          <w:sz w:val="22"/>
          <w:szCs w:val="22"/>
        </w:rPr>
        <w:t xml:space="preserve">Costa Lima 'perforador del fruto de sacha inchi' (</w:t>
      </w:r>
      <w:r>
        <w:rPr>
          <w:rFonts w:ascii="Calibri" w:hAnsi="Calibri" w:eastAsia="Calibri" w:cs="Calibri"/>
          <w:i/>
          <w:iCs/>
          <w:color w:val="000000"/>
          <w:sz w:val="22"/>
          <w:szCs w:val="22"/>
        </w:rPr>
        <w:t xml:space="preserve">Plukenetia volubilis </w:t>
      </w:r>
      <w:r>
        <w:rPr>
          <w:rFonts w:ascii="Calibri" w:hAnsi="Calibri" w:eastAsia="Calibri" w:cs="Calibri"/>
          <w:color w:val="000000"/>
          <w:sz w:val="22"/>
          <w:szCs w:val="22"/>
        </w:rPr>
        <w:t xml:space="preserve">L.) en Tingo María. Tesis. Universidad Nacional Agraria de La Selva, Tingo María (PE)</w:t>
      </w:r>
    </w:p>
    <w:p>
      <w:pPr>
        <w:widowControl w:val="on"/>
        <w:pBdr/>
        <w:spacing w:before="220" w:after="220" w:line="240" w:lineRule="auto"/>
        <w:ind w:left="0" w:right="0"/>
        <w:jc w:val="left"/>
      </w:pPr>
      <w:r>
        <w:rPr>
          <w:rFonts w:ascii="Calibri" w:hAnsi="Calibri" w:eastAsia="Calibri" w:cs="Calibri"/>
          <w:color w:val="000000"/>
          <w:sz w:val="22"/>
          <w:szCs w:val="22"/>
        </w:rPr>
        <w:t xml:space="preserve">Leite LG, Tavares FM, Goulart RM, Filho AB &amp; Parra JRP (2005) Patogenicidade de Nematoides Entomopatogenicos a Larvas de 6° Instar do Bicho-Furão,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(Lepidoptera: Tortricidae), e Avaliação de Dosagens de </w:t>
      </w:r>
      <w:r>
        <w:rPr>
          <w:rFonts w:ascii="Calibri" w:hAnsi="Calibri" w:eastAsia="Calibri" w:cs="Calibri"/>
          <w:i/>
          <w:iCs/>
          <w:color w:val="000000"/>
          <w:sz w:val="22"/>
          <w:szCs w:val="22"/>
        </w:rPr>
        <w:t xml:space="preserve">Heterorhabditis indica </w:t>
      </w:r>
      <w:r>
        <w:rPr>
          <w:rFonts w:ascii="Calibri" w:hAnsi="Calibri" w:eastAsia="Calibri" w:cs="Calibri"/>
          <w:color w:val="000000"/>
          <w:sz w:val="22"/>
          <w:szCs w:val="22"/>
        </w:rPr>
        <w:t xml:space="preserve">na Mortalidade do Inseto. </w:t>
      </w:r>
      <w:r>
        <w:rPr>
          <w:rFonts w:ascii="Calibri" w:hAnsi="Calibri" w:eastAsia="Calibri" w:cs="Calibri"/>
          <w:i/>
          <w:iCs/>
          <w:color w:val="000000"/>
          <w:sz w:val="22"/>
          <w:szCs w:val="22"/>
        </w:rPr>
        <w:t xml:space="preserve">Revista de Agricultura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316–330.</w:t>
      </w:r>
    </w:p>
    <w:p>
      <w:pPr>
        <w:widowControl w:val="on"/>
        <w:pBdr/>
        <w:spacing w:before="220" w:after="220" w:line="240" w:lineRule="auto"/>
        <w:ind w:left="0" w:right="0"/>
        <w:jc w:val="left"/>
      </w:pPr>
      <w:r>
        <w:rPr>
          <w:rFonts w:ascii="Calibri" w:hAnsi="Calibri" w:eastAsia="Calibri" w:cs="Calibri"/>
          <w:color w:val="000000"/>
          <w:sz w:val="22"/>
          <w:szCs w:val="22"/>
        </w:rPr>
        <w:t xml:space="preserve">Lima AMdC (1945) 140. </w:t>
      </w:r>
      <w:r>
        <w:rPr>
          <w:rFonts w:ascii="Calibri" w:hAnsi="Calibri" w:eastAsia="Calibri" w:cs="Calibri"/>
          <w:i/>
          <w:iCs/>
          <w:color w:val="000000"/>
          <w:sz w:val="22"/>
          <w:szCs w:val="22"/>
        </w:rPr>
        <w:t xml:space="preserve">Gymnandrosoma aurantianum </w:t>
      </w:r>
      <w:r>
        <w:rPr>
          <w:rFonts w:ascii="Calibri" w:hAnsi="Calibri" w:eastAsia="Calibri" w:cs="Calibri"/>
          <w:color w:val="000000"/>
          <w:sz w:val="22"/>
          <w:szCs w:val="22"/>
        </w:rPr>
        <w:t xml:space="preserve">Costa Lima, 1927. Insetos do Brasil 5. Tomo Lepidópteros parte 1. </w:t>
      </w:r>
      <w:r>
        <w:rPr>
          <w:rFonts w:ascii="Calibri" w:hAnsi="Calibri" w:eastAsia="Calibri" w:cs="Calibri"/>
          <w:i/>
          <w:iCs/>
          <w:color w:val="000000"/>
          <w:sz w:val="22"/>
          <w:szCs w:val="22"/>
        </w:rPr>
        <w:t xml:space="preserve">Escola Nacional de Agronomia, Série Didática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347–353.</w:t>
      </w:r>
    </w:p>
    <w:p>
      <w:pPr>
        <w:widowControl w:val="on"/>
        <w:pBdr/>
        <w:spacing w:before="220" w:after="220" w:line="240" w:lineRule="auto"/>
        <w:ind w:left="0" w:right="0"/>
        <w:jc w:val="left"/>
      </w:pPr>
      <w:r>
        <w:rPr>
          <w:rFonts w:ascii="Calibri" w:hAnsi="Calibri" w:eastAsia="Calibri" w:cs="Calibri"/>
          <w:color w:val="000000"/>
          <w:sz w:val="22"/>
          <w:szCs w:val="22"/>
        </w:rPr>
        <w:t xml:space="preserve">Molet T, Marchant W &amp; Morales L (2018) CPHST Pest Datasheet for </w:t>
      </w:r>
      <w:r>
        <w:rPr>
          <w:rFonts w:ascii="Calibri" w:hAnsi="Calibri" w:eastAsia="Calibri" w:cs="Calibri"/>
          <w:i/>
          <w:iCs/>
          <w:color w:val="000000"/>
          <w:sz w:val="22"/>
          <w:szCs w:val="22"/>
        </w:rPr>
        <w:t xml:space="preserve">Gymnandrosoma aurantianum</w:t>
      </w:r>
      <w:r>
        <w:rPr>
          <w:rFonts w:ascii="Calibri" w:hAnsi="Calibri" w:eastAsia="Calibri" w:cs="Calibri"/>
          <w:color w:val="000000"/>
          <w:sz w:val="22"/>
          <w:szCs w:val="22"/>
        </w:rPr>
        <w:t xml:space="preserve">. USDA-APHIS-PPQ-CPHST (USA).</w:t>
      </w:r>
    </w:p>
    <w:p>
      <w:pPr>
        <w:widowControl w:val="on"/>
        <w:pBdr/>
        <w:spacing w:before="220" w:after="220" w:line="240" w:lineRule="auto"/>
        <w:ind w:left="0" w:right="0"/>
        <w:jc w:val="left"/>
      </w:pPr>
      <w:r>
        <w:rPr>
          <w:rFonts w:ascii="Calibri" w:hAnsi="Calibri" w:eastAsia="Calibri" w:cs="Calibri"/>
          <w:color w:val="000000"/>
          <w:sz w:val="22"/>
          <w:szCs w:val="22"/>
        </w:rPr>
        <w:t xml:space="preserve">Muñoz AC, Lizcano CES &amp; Prado MM (2018) Reconocimiento, daño y opciones de manejo de </w:t>
      </w:r>
      <w:r>
        <w:rPr>
          <w:rFonts w:ascii="Calibri" w:hAnsi="Calibri" w:eastAsia="Calibri" w:cs="Calibri"/>
          <w:i/>
          <w:iCs/>
          <w:color w:val="000000"/>
          <w:sz w:val="22"/>
          <w:szCs w:val="22"/>
        </w:rPr>
        <w:t xml:space="preserve">Carmenta foraseminis </w:t>
      </w:r>
      <w:r>
        <w:rPr>
          <w:rFonts w:ascii="Calibri" w:hAnsi="Calibri" w:eastAsia="Calibri" w:cs="Calibri"/>
          <w:color w:val="000000"/>
          <w:sz w:val="22"/>
          <w:szCs w:val="22"/>
        </w:rPr>
        <w:t xml:space="preserve">Eichlin (Lepidóptera: Sesiidae), perforador del fruto y semilla de cacao </w:t>
      </w:r>
      <w:r>
        <w:rPr>
          <w:rFonts w:ascii="Calibri" w:hAnsi="Calibri" w:eastAsia="Calibri" w:cs="Calibri"/>
          <w:i/>
          <w:iCs/>
          <w:color w:val="000000"/>
          <w:sz w:val="22"/>
          <w:szCs w:val="22"/>
        </w:rPr>
        <w:t xml:space="preserve">Theobroma cacao </w:t>
      </w:r>
      <w:r>
        <w:rPr>
          <w:rFonts w:ascii="Calibri" w:hAnsi="Calibri" w:eastAsia="Calibri" w:cs="Calibri"/>
          <w:color w:val="000000"/>
          <w:sz w:val="22"/>
          <w:szCs w:val="22"/>
        </w:rPr>
        <w:t xml:space="preserve">L. (Malvaceae). Agrosavia, Mosquera (CO).</w:t>
      </w:r>
    </w:p>
    <w:p>
      <w:pPr>
        <w:widowControl w:val="on"/>
        <w:pBdr/>
        <w:spacing w:before="220" w:after="220" w:line="240" w:lineRule="auto"/>
        <w:ind w:left="0" w:right="0"/>
        <w:jc w:val="left"/>
      </w:pPr>
      <w:r>
        <w:rPr>
          <w:rFonts w:ascii="Calibri" w:hAnsi="Calibri" w:eastAsia="Calibri" w:cs="Calibri"/>
          <w:color w:val="000000"/>
          <w:sz w:val="22"/>
          <w:szCs w:val="22"/>
        </w:rPr>
        <w:t xml:space="preserve">Nakayama K (2018) Surto de lepidobrocas atacando frutos de cacaueiro Boletim Técnico. Ministério da Agricultura, Pecuária e Abastecimento, Ilhéus (BA).</w:t>
      </w:r>
    </w:p>
    <w:p>
      <w:pPr>
        <w:widowControl w:val="on"/>
        <w:pBdr/>
        <w:spacing w:before="220" w:after="220" w:line="240" w:lineRule="auto"/>
        <w:ind w:left="0" w:right="0"/>
        <w:jc w:val="left"/>
      </w:pPr>
      <w:r>
        <w:rPr>
          <w:rFonts w:ascii="Calibri" w:hAnsi="Calibri" w:eastAsia="Calibri" w:cs="Calibri"/>
          <w:color w:val="000000"/>
          <w:sz w:val="22"/>
          <w:szCs w:val="22"/>
        </w:rPr>
        <w:t xml:space="preserve">Noboa M, Medina L &amp; Viera W (2018) First Report of </w:t>
      </w:r>
      <w:r>
        <w:rPr>
          <w:rFonts w:ascii="Calibri" w:hAnsi="Calibri" w:eastAsia="Calibri" w:cs="Calibri"/>
          <w:i/>
          <w:iCs/>
          <w:color w:val="000000"/>
          <w:sz w:val="22"/>
          <w:szCs w:val="22"/>
        </w:rPr>
        <w:t xml:space="preserve">Gynmandrosoma aurantianum </w:t>
      </w:r>
      <w:r>
        <w:rPr>
          <w:rFonts w:ascii="Calibri" w:hAnsi="Calibri" w:eastAsia="Calibri" w:cs="Calibri"/>
          <w:color w:val="000000"/>
          <w:sz w:val="22"/>
          <w:szCs w:val="22"/>
        </w:rPr>
        <w:t xml:space="preserve">(Lepidoptera: Tortricidae) in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in the Inter-Andean Valleys of Ecuador.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699–701.</w:t>
      </w:r>
    </w:p>
    <w:p>
      <w:pPr>
        <w:widowControl w:val="on"/>
        <w:pBdr/>
        <w:spacing w:before="220" w:after="220" w:line="240" w:lineRule="auto"/>
        <w:ind w:left="0" w:right="0"/>
        <w:jc w:val="left"/>
      </w:pPr>
      <w:r>
        <w:rPr>
          <w:rFonts w:ascii="Calibri" w:hAnsi="Calibri" w:eastAsia="Calibri" w:cs="Calibri"/>
          <w:color w:val="000000"/>
          <w:sz w:val="22"/>
          <w:szCs w:val="22"/>
        </w:rPr>
        <w:t xml:space="preserve">Parra JRP (2016) Sustainable Pest Control for Citrus Production in Brazil. Presentation. International Citrus Congress, 18-23 September 2016. Foz do Iguacu (BA).</w:t>
      </w:r>
    </w:p>
    <w:p>
      <w:pPr>
        <w:widowControl w:val="on"/>
        <w:pBdr/>
        <w:spacing w:before="220" w:after="220" w:line="240" w:lineRule="auto"/>
        <w:ind w:left="0" w:right="0"/>
        <w:jc w:val="left"/>
      </w:pPr>
      <w:r>
        <w:rPr>
          <w:rFonts w:ascii="Calibri" w:hAnsi="Calibri" w:eastAsia="Calibri" w:cs="Calibri"/>
          <w:color w:val="000000"/>
          <w:sz w:val="22"/>
          <w:szCs w:val="22"/>
        </w:rPr>
        <w:t xml:space="preserve">Parra JRP, Bento JMS, Garcia MS, Yamamoto PT, Vilela EF &amp; Leal WS (2004) Development of a control alternative for the citrus fruit borer,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(Lepidoptera, Tortricidae): from basic research to the grower. </w:t>
      </w:r>
      <w:r>
        <w:rPr>
          <w:rFonts w:ascii="Calibri" w:hAnsi="Calibri" w:eastAsia="Calibri" w:cs="Calibri"/>
          <w:i/>
          <w:iCs/>
          <w:color w:val="000000"/>
          <w:sz w:val="22"/>
          <w:szCs w:val="22"/>
        </w:rPr>
        <w:t xml:space="preserve">Revista Brasileira de Entomologia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561–567.</w:t>
      </w:r>
    </w:p>
    <w:p>
      <w:pPr>
        <w:widowControl w:val="on"/>
        <w:pBdr/>
        <w:spacing w:before="220" w:after="220" w:line="240" w:lineRule="auto"/>
        <w:ind w:left="0" w:right="0"/>
        <w:jc w:val="left"/>
      </w:pPr>
      <w:r>
        <w:rPr>
          <w:rFonts w:ascii="Calibri" w:hAnsi="Calibri" w:eastAsia="Calibri" w:cs="Calibri"/>
          <w:color w:val="000000"/>
          <w:sz w:val="22"/>
          <w:szCs w:val="22"/>
        </w:rPr>
        <w:t xml:space="preserve">Primo Miranda C (2003) Cultivo de macadamia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control biológico del barrenador de la nuez macadamia (</w:t>
      </w:r>
      <w:r>
        <w:rPr>
          <w:rFonts w:ascii="Calibri" w:hAnsi="Calibri" w:eastAsia="Calibri" w:cs="Calibri"/>
          <w:i/>
          <w:iCs/>
          <w:color w:val="000000"/>
          <w:sz w:val="22"/>
          <w:szCs w:val="22"/>
        </w:rPr>
        <w:t xml:space="preserve">Ecdytolopha torticornis</w:t>
      </w:r>
      <w:r>
        <w:rPr>
          <w:rFonts w:ascii="Calibri" w:hAnsi="Calibri" w:eastAsia="Calibri" w:cs="Calibri"/>
          <w:color w:val="000000"/>
          <w:sz w:val="22"/>
          <w:szCs w:val="22"/>
        </w:rPr>
        <w:t xml:space="preserve">), con tres diferentes niveles de concentración del hongo. Tesis de graduación profesional (2002).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Reis R Jr, Parra JRP &amp; Bento JMS (2005) Desenvolvimento de um modelo para previsão de ocorrência do bicho-furão-dos-citros,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(Lima) (Lepidoptera: Tortricidae). </w:t>
      </w:r>
      <w:r>
        <w:rPr>
          <w:rFonts w:ascii="Calibri" w:hAnsi="Calibri" w:eastAsia="Calibri" w:cs="Calibri"/>
          <w:i/>
          <w:iCs/>
          <w:color w:val="000000"/>
          <w:sz w:val="22"/>
          <w:szCs w:val="22"/>
        </w:rPr>
        <w:t xml:space="preserve">Neotropical Entomology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627–637.</w:t>
      </w:r>
    </w:p>
    <w:p>
      <w:pPr>
        <w:widowControl w:val="on"/>
        <w:pBdr/>
        <w:spacing w:before="220" w:after="220" w:line="240" w:lineRule="auto"/>
        <w:ind w:left="0" w:right="0"/>
        <w:jc w:val="left"/>
      </w:pPr>
      <w:r>
        <w:rPr>
          <w:rFonts w:ascii="Calibri" w:hAnsi="Calibri" w:eastAsia="Calibri" w:cs="Calibri"/>
          <w:color w:val="000000"/>
          <w:sz w:val="22"/>
          <w:szCs w:val="22"/>
        </w:rPr>
        <w:t xml:space="preserve">Soares de Matos ST, dos Santos-Cividanes TM, Cividanes FJ, dos Santos LC, Suguino E &amp; Ribeiro AA (2019) First record of lepidopteran borers in Macadamia nuts in Brazil.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649–650.</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(2003) Importation of Fresh Commercial Citrus Fruit: Grapefruit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paradisi </w:t>
      </w:r>
      <w:r>
        <w:rPr>
          <w:rFonts w:ascii="Calibri" w:hAnsi="Calibri" w:eastAsia="Calibri" w:cs="Calibri"/>
          <w:color w:val="000000"/>
          <w:sz w:val="22"/>
          <w:szCs w:val="22"/>
        </w:rPr>
        <w:t xml:space="preserve">Macfad.); Lime (</w:t>
      </w:r>
      <w:r>
        <w:rPr>
          <w:rFonts w:ascii="Calibri" w:hAnsi="Calibri" w:eastAsia="Calibri" w:cs="Calibri"/>
          <w:i/>
          <w:iCs/>
          <w:color w:val="000000"/>
          <w:sz w:val="22"/>
          <w:szCs w:val="22"/>
        </w:rPr>
        <w:t xml:space="preserve">C. aurantiifolia </w:t>
      </w:r>
      <w:r>
        <w:rPr>
          <w:rFonts w:ascii="Calibri" w:hAnsi="Calibri" w:eastAsia="Calibri" w:cs="Calibri"/>
          <w:color w:val="000000"/>
          <w:sz w:val="22"/>
          <w:szCs w:val="22"/>
        </w:rPr>
        <w:t xml:space="preserve">[Christm.] Swingle); Mandarin Orange or Tangerine (</w:t>
      </w:r>
      <w:r>
        <w:rPr>
          <w:rFonts w:ascii="Calibri" w:hAnsi="Calibri" w:eastAsia="Calibri" w:cs="Calibri"/>
          <w:i/>
          <w:iCs/>
          <w:color w:val="000000"/>
          <w:sz w:val="22"/>
          <w:szCs w:val="22"/>
        </w:rPr>
        <w:t xml:space="preserve">C. reticulata </w:t>
      </w:r>
      <w:r>
        <w:rPr>
          <w:rFonts w:ascii="Calibri" w:hAnsi="Calibri" w:eastAsia="Calibri" w:cs="Calibri"/>
          <w:color w:val="000000"/>
          <w:sz w:val="22"/>
          <w:szCs w:val="22"/>
        </w:rPr>
        <w:t xml:space="preserve">Blanco); Sweet Orange (</w:t>
      </w:r>
      <w:r>
        <w:rPr>
          <w:rFonts w:ascii="Calibri" w:hAnsi="Calibri" w:eastAsia="Calibri" w:cs="Calibri"/>
          <w:i/>
          <w:iCs/>
          <w:color w:val="000000"/>
          <w:sz w:val="22"/>
          <w:szCs w:val="22"/>
        </w:rPr>
        <w:t xml:space="preserve">C. sinensis </w:t>
      </w:r>
      <w:r>
        <w:rPr>
          <w:rFonts w:ascii="Calibri" w:hAnsi="Calibri" w:eastAsia="Calibri" w:cs="Calibri"/>
          <w:color w:val="000000"/>
          <w:sz w:val="22"/>
          <w:szCs w:val="22"/>
        </w:rPr>
        <w:t xml:space="preserve">[L.] Osbeck); Tangelo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tangelo </w:t>
      </w:r>
      <w:r>
        <w:rPr>
          <w:rFonts w:ascii="Calibri" w:hAnsi="Calibri" w:eastAsia="Calibri" w:cs="Calibri"/>
          <w:color w:val="000000"/>
          <w:sz w:val="22"/>
          <w:szCs w:val="22"/>
        </w:rPr>
        <w:t xml:space="preserve">J.W. Ingra &amp; H.E. Moore); from Peru into the United States. United States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(2012) Importation of Fresh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Fruit, including Sweet Orange (</w:t>
      </w:r>
      <w:r>
        <w:rPr>
          <w:rFonts w:ascii="Calibri" w:hAnsi="Calibri" w:eastAsia="Calibri" w:cs="Calibri"/>
          <w:i/>
          <w:iCs/>
          <w:color w:val="000000"/>
          <w:sz w:val="22"/>
          <w:szCs w:val="22"/>
        </w:rPr>
        <w:t xml:space="preserve">Citrus sinensis </w:t>
      </w:r>
      <w:r>
        <w:rPr>
          <w:rFonts w:ascii="Calibri" w:hAnsi="Calibri" w:eastAsia="Calibri" w:cs="Calibri"/>
          <w:color w:val="000000"/>
          <w:sz w:val="22"/>
          <w:szCs w:val="22"/>
        </w:rPr>
        <w:t xml:space="preserve">(L.) Osbeck), Lemon (</w:t>
      </w:r>
      <w:r>
        <w:rPr>
          <w:rFonts w:ascii="Calibri" w:hAnsi="Calibri" w:eastAsia="Calibri" w:cs="Calibri"/>
          <w:i/>
          <w:iCs/>
          <w:color w:val="000000"/>
          <w:sz w:val="22"/>
          <w:szCs w:val="22"/>
        </w:rPr>
        <w:t xml:space="preserve">C. limon </w:t>
      </w:r>
      <w:r>
        <w:rPr>
          <w:rFonts w:ascii="Calibri" w:hAnsi="Calibri" w:eastAsia="Calibri" w:cs="Calibri"/>
          <w:color w:val="000000"/>
          <w:sz w:val="22"/>
          <w:szCs w:val="22"/>
        </w:rPr>
        <w:t xml:space="preserve">(L.) Burm. f.), Mandarin (</w:t>
      </w:r>
      <w:r>
        <w:rPr>
          <w:rFonts w:ascii="Calibri" w:hAnsi="Calibri" w:eastAsia="Calibri" w:cs="Calibri"/>
          <w:i/>
          <w:iCs/>
          <w:color w:val="000000"/>
          <w:sz w:val="22"/>
          <w:szCs w:val="22"/>
        </w:rPr>
        <w:t xml:space="preserve">C. reticulata </w:t>
      </w:r>
      <w:r>
        <w:rPr>
          <w:rFonts w:ascii="Calibri" w:hAnsi="Calibri" w:eastAsia="Calibri" w:cs="Calibri"/>
          <w:color w:val="000000"/>
          <w:sz w:val="22"/>
          <w:szCs w:val="22"/>
        </w:rPr>
        <w:t xml:space="preserve">Blanco, </w:t>
      </w:r>
      <w:r>
        <w:rPr>
          <w:rFonts w:ascii="Calibri" w:hAnsi="Calibri" w:eastAsia="Calibri" w:cs="Calibri"/>
          <w:i/>
          <w:iCs/>
          <w:color w:val="000000"/>
          <w:sz w:val="22"/>
          <w:szCs w:val="22"/>
        </w:rPr>
        <w:t xml:space="preserve">C. clementina </w:t>
      </w:r>
      <w:r>
        <w:rPr>
          <w:rFonts w:ascii="Calibri" w:hAnsi="Calibri" w:eastAsia="Calibri" w:cs="Calibri"/>
          <w:color w:val="000000"/>
          <w:sz w:val="22"/>
          <w:szCs w:val="22"/>
        </w:rPr>
        <w:t xml:space="preserve">Hort. Ex Tanaka, </w:t>
      </w:r>
      <w:r>
        <w:rPr>
          <w:rFonts w:ascii="Calibri" w:hAnsi="Calibri" w:eastAsia="Calibri" w:cs="Calibri"/>
          <w:i/>
          <w:iCs/>
          <w:color w:val="000000"/>
          <w:sz w:val="22"/>
          <w:szCs w:val="22"/>
        </w:rPr>
        <w:t xml:space="preserve">C. deliciosa </w:t>
      </w:r>
      <w:r>
        <w:rPr>
          <w:rFonts w:ascii="Calibri" w:hAnsi="Calibri" w:eastAsia="Calibri" w:cs="Calibri"/>
          <w:color w:val="000000"/>
          <w:sz w:val="22"/>
          <w:szCs w:val="22"/>
        </w:rPr>
        <w:t xml:space="preserve">Ten., </w:t>
      </w:r>
      <w:r>
        <w:rPr>
          <w:rFonts w:ascii="Calibri" w:hAnsi="Calibri" w:eastAsia="Calibri" w:cs="Calibri"/>
          <w:i/>
          <w:iCs/>
          <w:color w:val="000000"/>
          <w:sz w:val="22"/>
          <w:szCs w:val="22"/>
        </w:rPr>
        <w:t xml:space="preserve">C. unshiu </w:t>
      </w:r>
      <w:r>
        <w:rPr>
          <w:rFonts w:ascii="Calibri" w:hAnsi="Calibri" w:eastAsia="Calibri" w:cs="Calibri"/>
          <w:color w:val="000000"/>
          <w:sz w:val="22"/>
          <w:szCs w:val="22"/>
        </w:rPr>
        <w:t xml:space="preserve">Marcow.),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Hybrids, and the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-Related Genus </w:t>
      </w:r>
      <w:r>
        <w:rPr>
          <w:rFonts w:ascii="Calibri" w:hAnsi="Calibri" w:eastAsia="Calibri" w:cs="Calibri"/>
          <w:i/>
          <w:iCs/>
          <w:color w:val="000000"/>
          <w:sz w:val="22"/>
          <w:szCs w:val="22"/>
        </w:rPr>
        <w:t xml:space="preserve">Fortunella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F. japonica </w:t>
      </w:r>
      <w:r>
        <w:rPr>
          <w:rFonts w:ascii="Calibri" w:hAnsi="Calibri" w:eastAsia="Calibri" w:cs="Calibri"/>
          <w:color w:val="000000"/>
          <w:sz w:val="22"/>
          <w:szCs w:val="22"/>
        </w:rPr>
        <w:t xml:space="preserve">(Thunb.) Swingle, </w:t>
      </w:r>
      <w:r>
        <w:rPr>
          <w:rFonts w:ascii="Calibri" w:hAnsi="Calibri" w:eastAsia="Calibri" w:cs="Calibri"/>
          <w:i/>
          <w:iCs/>
          <w:color w:val="000000"/>
          <w:sz w:val="22"/>
          <w:szCs w:val="22"/>
        </w:rPr>
        <w:t xml:space="preserve">F. margarita </w:t>
      </w:r>
      <w:r>
        <w:rPr>
          <w:rFonts w:ascii="Calibri" w:hAnsi="Calibri" w:eastAsia="Calibri" w:cs="Calibri"/>
          <w:color w:val="000000"/>
          <w:sz w:val="22"/>
          <w:szCs w:val="22"/>
        </w:rPr>
        <w:t xml:space="preserve">(Lour.) Swingle), from Uruguay into the Continental United States. United States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Vianna UR (2015) Capítulo 2, Bicho-Furão. In </w:t>
      </w:r>
      <w:r>
        <w:rPr>
          <w:rFonts w:ascii="Calibri" w:hAnsi="Calibri" w:eastAsia="Calibri" w:cs="Calibri"/>
          <w:i/>
          <w:iCs/>
          <w:color w:val="000000"/>
          <w:sz w:val="22"/>
          <w:szCs w:val="22"/>
        </w:rPr>
        <w:t xml:space="preserve">Pragas emergentes no Estado do Espírito Santo, 1a edição</w:t>
      </w:r>
      <w:r>
        <w:rPr>
          <w:rFonts w:ascii="Calibri" w:hAnsi="Calibri" w:eastAsia="Calibri" w:cs="Calibri"/>
          <w:color w:val="000000"/>
          <w:sz w:val="22"/>
          <w:szCs w:val="22"/>
        </w:rPr>
        <w:t xml:space="preserve">. 142 pp. Alegre, Espírito Santo (BA).</w:t>
      </w:r>
    </w:p>
    <w:p>
      <w:pPr>
        <w:widowControl w:val="on"/>
        <w:pBdr/>
        <w:spacing w:before="220" w:after="220" w:line="240" w:lineRule="auto"/>
        <w:ind w:left="0" w:right="0"/>
        <w:jc w:val="left"/>
      </w:pPr>
      <w:r>
        <w:rPr>
          <w:rFonts w:ascii="Calibri" w:hAnsi="Calibri" w:eastAsia="Calibri" w:cs="Calibri"/>
          <w:color w:val="000000"/>
          <w:sz w:val="22"/>
          <w:szCs w:val="22"/>
        </w:rPr>
        <w:t xml:space="preserve">White G &amp; Tuck K (1993) Outbreak of </w:t>
      </w:r>
      <w:r>
        <w:rPr>
          <w:rFonts w:ascii="Calibri" w:hAnsi="Calibri" w:eastAsia="Calibri" w:cs="Calibri"/>
          <w:i/>
          <w:iCs/>
          <w:color w:val="000000"/>
          <w:sz w:val="22"/>
          <w:szCs w:val="22"/>
        </w:rPr>
        <w:t xml:space="preserve">Ecdytolopha aurantianum </w:t>
      </w:r>
      <w:r>
        <w:rPr>
          <w:rFonts w:ascii="Calibri" w:hAnsi="Calibri" w:eastAsia="Calibri" w:cs="Calibri"/>
          <w:color w:val="000000"/>
          <w:sz w:val="22"/>
          <w:szCs w:val="22"/>
        </w:rPr>
        <w:t xml:space="preserve">(Lima) on citrus in Trinidad. </w:t>
      </w:r>
      <w:r>
        <w:rPr>
          <w:rFonts w:ascii="Calibri" w:hAnsi="Calibri" w:eastAsia="Calibri" w:cs="Calibri"/>
          <w:i/>
          <w:iCs/>
          <w:color w:val="000000"/>
          <w:sz w:val="22"/>
          <w:szCs w:val="22"/>
        </w:rPr>
        <w:t xml:space="preserve">FAO Plant Protection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130–132.</w:t>
      </w:r>
    </w:p>
    <w:p>
      <w:pPr>
        <w:widowControl w:val="on"/>
        <w:pBdr/>
        <w:spacing w:before="220" w:after="220" w:line="240" w:lineRule="auto"/>
        <w:ind w:left="0" w:right="0"/>
        <w:jc w:val="left"/>
      </w:pPr>
      <w:r>
        <w:rPr>
          <w:rFonts w:ascii="Calibri" w:hAnsi="Calibri" w:eastAsia="Calibri" w:cs="Calibri"/>
          <w:color w:val="000000"/>
          <w:sz w:val="22"/>
          <w:szCs w:val="22"/>
        </w:rPr>
        <w:t xml:space="preserve">White GL (1999) </w:t>
      </w:r>
      <w:r>
        <w:rPr>
          <w:rFonts w:ascii="Calibri" w:hAnsi="Calibri" w:eastAsia="Calibri" w:cs="Calibri"/>
          <w:i/>
          <w:iCs/>
          <w:color w:val="000000"/>
          <w:sz w:val="22"/>
          <w:szCs w:val="22"/>
        </w:rPr>
        <w:t xml:space="preserve">Sapindus saponaria </w:t>
      </w:r>
      <w:r>
        <w:rPr>
          <w:rFonts w:ascii="Calibri" w:hAnsi="Calibri" w:eastAsia="Calibri" w:cs="Calibri"/>
          <w:color w:val="000000"/>
          <w:sz w:val="22"/>
          <w:szCs w:val="22"/>
        </w:rPr>
        <w:t xml:space="preserve">L. (Sapindaceae), a new host of </w:t>
      </w:r>
      <w:r>
        <w:rPr>
          <w:rFonts w:ascii="Calibri" w:hAnsi="Calibri" w:eastAsia="Calibri" w:cs="Calibri"/>
          <w:i/>
          <w:iCs/>
          <w:color w:val="000000"/>
          <w:sz w:val="22"/>
          <w:szCs w:val="22"/>
        </w:rPr>
        <w:t xml:space="preserve">Ecdytolopha aurantianum </w:t>
      </w:r>
      <w:r>
        <w:rPr>
          <w:rFonts w:ascii="Calibri" w:hAnsi="Calibri" w:eastAsia="Calibri" w:cs="Calibri"/>
          <w:color w:val="000000"/>
          <w:sz w:val="22"/>
          <w:szCs w:val="22"/>
        </w:rPr>
        <w:t xml:space="preserve">(Lima) (Lepidoptera: Tortricidae: Olethreutinae). </w:t>
      </w:r>
      <w:r>
        <w:rPr>
          <w:rFonts w:ascii="Calibri" w:hAnsi="Calibri" w:eastAsia="Calibri" w:cs="Calibri"/>
          <w:i/>
          <w:iCs/>
          <w:color w:val="000000"/>
          <w:sz w:val="22"/>
          <w:szCs w:val="22"/>
        </w:rPr>
        <w:t xml:space="preserve">International Journal of Pest Management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287–291.</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P, Molina J, Felippe M &amp; Nociti L (2006) Monitoramento de </w:t>
      </w:r>
      <w:r>
        <w:rPr>
          <w:rFonts w:ascii="Calibri" w:hAnsi="Calibri" w:eastAsia="Calibri" w:cs="Calibri"/>
          <w:i/>
          <w:iCs/>
          <w:color w:val="000000"/>
          <w:sz w:val="22"/>
          <w:szCs w:val="22"/>
        </w:rPr>
        <w:t xml:space="preserve">Ecdytolopha aurantiana </w:t>
      </w:r>
      <w:r>
        <w:rPr>
          <w:rFonts w:ascii="Calibri" w:hAnsi="Calibri" w:eastAsia="Calibri" w:cs="Calibri"/>
          <w:color w:val="000000"/>
          <w:sz w:val="22"/>
          <w:szCs w:val="22"/>
        </w:rPr>
        <w:t xml:space="preserve">(Lima) em Laranjeira Valência com Feromônio Sexual. </w:t>
      </w:r>
      <w:r>
        <w:rPr>
          <w:rFonts w:ascii="Calibri" w:hAnsi="Calibri" w:eastAsia="Calibri" w:cs="Calibri"/>
          <w:i/>
          <w:iCs/>
          <w:color w:val="000000"/>
          <w:sz w:val="22"/>
          <w:szCs w:val="22"/>
        </w:rPr>
        <w:t xml:space="preserve">BioAssay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the EPPO Secretariat based on the pest risk analysis produced by an EPPO expert working group in 2020. The expert working group was composed of H. Blanco-Metzler (Universidad de Costa Rica, Costa Rica), M. Fernández Gallego (Tecnologías y Servicios Agrarios, Spain), L. Montecchio (Università di Padova, Italy) and N. Üstün (Ministry of Agriculture and Forestry, Turkey).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Gymnandrosoma aurantianum</w:t>
      </w:r>
      <w:r>
        <w:rPr>
          <w:rFonts w:ascii="Calibri" w:hAnsi="Calibri" w:eastAsia="Calibri" w:cs="Calibri"/>
          <w:color w:val="000000"/>
          <w:sz w:val="22"/>
          <w:szCs w:val="22"/>
        </w:rPr>
        <w:t xml:space="preserve">. EPPO datasheets on pests recommended for regulation. Available online. </w:t>
      </w:r>
      <w:hyperlink r:id="rId33146ac4f8eaf315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2022. It is now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 </w:t>
      </w:r>
      <w:r>
        <w:rPr>
          <w:rFonts w:ascii="Calibri" w:hAnsi="Calibri" w:eastAsia="Calibri" w:cs="Calibri"/>
          <w:color w:val="000000"/>
          <w:sz w:val="22"/>
          <w:szCs w:val="22"/>
        </w:rPr>
        <w:br/>
        <w:t xml:space="preserve"> EPPO (2022) Datasheets on pests recommended for regulation. </w:t>
      </w:r>
      <w:r>
        <w:rPr>
          <w:rFonts w:ascii="Calibri" w:hAnsi="Calibri" w:eastAsia="Calibri" w:cs="Calibri"/>
          <w:i/>
          <w:iCs/>
          <w:color w:val="000000"/>
          <w:sz w:val="22"/>
          <w:szCs w:val="22"/>
        </w:rPr>
        <w:t xml:space="preserve">Gymnandrosoma aurantianum</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387–393. </w:t>
      </w:r>
      <w:hyperlink r:id="rId26466ac4f8eaf324e" w:history="1">
        <w:r>
          <w:rPr>
            <w:rFonts w:ascii="Calibri" w:hAnsi="Calibri" w:eastAsia="Calibri" w:cs="Calibri"/>
            <w:color w:val="0000CC"/>
            <w:sz w:val="22"/>
            <w:szCs w:val="22"/>
            <w:u w:val="single"/>
          </w:rPr>
          <w:t xml:space="preserve">https://doi.org/10.1111/epp.12830</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63305">
    <w:multiLevelType w:val="hybridMultilevel"/>
    <w:lvl w:ilvl="0" w:tplc="37989334">
      <w:start w:val="1"/>
      <w:numFmt w:val="decimal"/>
      <w:lvlText w:val="%1."/>
      <w:lvlJc w:val="left"/>
      <w:pPr>
        <w:ind w:left="720" w:hanging="360"/>
      </w:pPr>
    </w:lvl>
    <w:lvl w:ilvl="1" w:tplc="37989334" w:tentative="1">
      <w:start w:val="1"/>
      <w:numFmt w:val="lowerLetter"/>
      <w:lvlText w:val="%2."/>
      <w:lvlJc w:val="left"/>
      <w:pPr>
        <w:ind w:left="1440" w:hanging="360"/>
      </w:pPr>
    </w:lvl>
    <w:lvl w:ilvl="2" w:tplc="37989334" w:tentative="1">
      <w:start w:val="1"/>
      <w:numFmt w:val="lowerRoman"/>
      <w:lvlText w:val="%3."/>
      <w:lvlJc w:val="right"/>
      <w:pPr>
        <w:ind w:left="2160" w:hanging="180"/>
      </w:pPr>
    </w:lvl>
    <w:lvl w:ilvl="3" w:tplc="37989334" w:tentative="1">
      <w:start w:val="1"/>
      <w:numFmt w:val="decimal"/>
      <w:lvlText w:val="%4."/>
      <w:lvlJc w:val="left"/>
      <w:pPr>
        <w:ind w:left="2880" w:hanging="360"/>
      </w:pPr>
    </w:lvl>
    <w:lvl w:ilvl="4" w:tplc="37989334" w:tentative="1">
      <w:start w:val="1"/>
      <w:numFmt w:val="lowerLetter"/>
      <w:lvlText w:val="%5."/>
      <w:lvlJc w:val="left"/>
      <w:pPr>
        <w:ind w:left="3600" w:hanging="360"/>
      </w:pPr>
    </w:lvl>
    <w:lvl w:ilvl="5" w:tplc="37989334" w:tentative="1">
      <w:start w:val="1"/>
      <w:numFmt w:val="lowerRoman"/>
      <w:lvlText w:val="%6."/>
      <w:lvlJc w:val="right"/>
      <w:pPr>
        <w:ind w:left="4320" w:hanging="180"/>
      </w:pPr>
    </w:lvl>
    <w:lvl w:ilvl="6" w:tplc="37989334" w:tentative="1">
      <w:start w:val="1"/>
      <w:numFmt w:val="decimal"/>
      <w:lvlText w:val="%7."/>
      <w:lvlJc w:val="left"/>
      <w:pPr>
        <w:ind w:left="5040" w:hanging="360"/>
      </w:pPr>
    </w:lvl>
    <w:lvl w:ilvl="7" w:tplc="37989334" w:tentative="1">
      <w:start w:val="1"/>
      <w:numFmt w:val="lowerLetter"/>
      <w:lvlText w:val="%8."/>
      <w:lvlJc w:val="left"/>
      <w:pPr>
        <w:ind w:left="5760" w:hanging="360"/>
      </w:pPr>
    </w:lvl>
    <w:lvl w:ilvl="8" w:tplc="37989334" w:tentative="1">
      <w:start w:val="1"/>
      <w:numFmt w:val="lowerRoman"/>
      <w:lvlText w:val="%9."/>
      <w:lvlJc w:val="right"/>
      <w:pPr>
        <w:ind w:left="6480" w:hanging="180"/>
      </w:pPr>
    </w:lvl>
  </w:abstractNum>
  <w:abstractNum w:abstractNumId="51663304">
    <w:multiLevelType w:val="hybridMultilevel"/>
    <w:lvl w:ilvl="0" w:tplc="27901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63304">
    <w:abstractNumId w:val="51663304"/>
  </w:num>
  <w:num w:numId="51663305">
    <w:abstractNumId w:val="516633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8579705" Type="http://schemas.microsoft.com/office/2011/relationships/commentsExtended" Target="commentsExtended.xml"/><Relationship Id="rId788777969" Type="http://schemas.microsoft.com/office/2011/relationships/people" Target="people.xml"/><Relationship Id="rId48956ac4f8eaed28e" Type="http://schemas.openxmlformats.org/officeDocument/2006/relationships/hyperlink" Target="https://gd.eppo.int/taxon/ECDYAU/" TargetMode="External"/><Relationship Id="rId21216ac4f8eaed2d5" Type="http://schemas.openxmlformats.org/officeDocument/2006/relationships/hyperlink" Target="https://gd.eppo.int/taxon/ECDYAU/categorization" TargetMode="External"/><Relationship Id="rId12236ac4f8eaedb7d" Type="http://schemas.openxmlformats.org/officeDocument/2006/relationships/hyperlink" Target="https://gd.eppo.int/taxon/ECDYAU/photos" TargetMode="External"/><Relationship Id="rId44866ac4f8eaf08b1" Type="http://schemas.openxmlformats.org/officeDocument/2006/relationships/hyperlink" Target="http://idtools.org/id/leps/tortai/keys/TortAILarv%20ae.html" TargetMode="External"/><Relationship Id="rId80046ac4f8eaf0d35" Type="http://schemas.openxmlformats.org/officeDocument/2006/relationships/hyperlink" Target="http://v4.boldsystems.org/" TargetMode="External"/><Relationship Id="rId17506ac4f8eaf1d54" Type="http://schemas.openxmlformats.org/officeDocument/2006/relationships/hyperlink" Target="http://www.respo%20statecnica.org.br" TargetMode="External"/><Relationship Id="rId88746ac4f8eaf2224" Type="http://schemas.openxmlformats.org/officeDocument/2006/relationships/hyperlink" Target="http://idtoo%20ls.org/" TargetMode="External"/><Relationship Id="rId29356ac4f8eaf23ee" Type="http://schemas.openxmlformats.org/officeDocument/2006/relationships/hyperlink" Target="https://gd.eppo.int" TargetMode="External"/><Relationship Id="rId38476ac4f8eaf246f" Type="http://schemas.openxmlformats.org/officeDocument/2006/relationships/hyperlink" Target="https://www.funde%20citrus.com.br/doenc%20as/bicho%20-furao" TargetMode="External"/><Relationship Id="rId62596ac4f8eaf2640" Type="http://schemas.openxmlformats.org/officeDocument/2006/relationships/hyperlink" Target="http://idtools.org/id/leps/tortai/keys/TortAILarv%20ae.html" TargetMode="External"/><Relationship Id="rId33146ac4f8eaf315d" Type="http://schemas.openxmlformats.org/officeDocument/2006/relationships/hyperlink" Target="https://gd.eppo.int" TargetMode="External"/><Relationship Id="rId26466ac4f8eaf324e" Type="http://schemas.openxmlformats.org/officeDocument/2006/relationships/hyperlink" Target="https://doi.org/10.1111/epp.12830" TargetMode="External"/><Relationship Id="rId49566ac4f8eaeda33" Type="http://schemas.openxmlformats.org/officeDocument/2006/relationships/image" Target="media/imgrId49566ac4f8eaeda33.jpg"/><Relationship Id="rId20396ac4f8eaef580" Type="http://schemas.openxmlformats.org/officeDocument/2006/relationships/image" Target="media/imgrId20396ac4f8eaef580.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